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7E0" w:firstRow="1" w:lastRow="1" w:firstColumn="1" w:lastColumn="1" w:noHBand="1" w:noVBand="1"/>
      </w:tblPr>
      <w:tblGrid>
        <w:gridCol w:w="4247"/>
        <w:gridCol w:w="5410"/>
      </w:tblGrid>
      <w:tr w:rsidR="001C36A2" w:rsidRPr="00322B1D" w14:paraId="605950AD" w14:textId="77777777" w:rsidTr="00EE5294">
        <w:tc>
          <w:tcPr>
            <w:tcW w:w="2199" w:type="pct"/>
          </w:tcPr>
          <w:p w14:paraId="6812165B" w14:textId="165F44DE"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CHÍNH</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PHỦ</w:t>
            </w:r>
            <w:r w:rsidRPr="00322B1D">
              <w:rPr>
                <w:rFonts w:ascii="Times New Roman" w:hAnsi="Times New Roman" w:cs="Times New Roman"/>
                <w:color w:val="000000" w:themeColor="text1"/>
              </w:rPr>
              <w:br/>
            </w:r>
            <w:r w:rsidRPr="00322B1D">
              <w:rPr>
                <w:rFonts w:ascii="Times New Roman" w:hAnsi="Times New Roman" w:cs="Times New Roman"/>
                <w:color w:val="000000" w:themeColor="text1"/>
                <w:vertAlign w:val="superscript"/>
              </w:rPr>
              <w:t>_______</w:t>
            </w:r>
            <w:r w:rsidRPr="00322B1D">
              <w:rPr>
                <w:rFonts w:ascii="Times New Roman" w:hAnsi="Times New Roman" w:cs="Times New Roman"/>
                <w:color w:val="000000" w:themeColor="text1"/>
              </w:rPr>
              <w:br/>
            </w:r>
            <w:r w:rsidR="001C36A2" w:rsidRPr="00322B1D">
              <w:rPr>
                <w:rFonts w:ascii="Times New Roman" w:hAnsi="Times New Roman" w:cs="Times New Roman"/>
                <w:color w:val="000000" w:themeColor="text1"/>
              </w:rPr>
              <w:br/>
            </w:r>
            <w:r w:rsidRPr="00322B1D">
              <w:rPr>
                <w:rFonts w:ascii="Times New Roman" w:hAnsi="Times New Roman" w:cs="Times New Roman"/>
                <w:color w:val="000000" w:themeColor="text1"/>
              </w:rPr>
              <w:t>Số:</w:t>
            </w:r>
            <w:r w:rsidR="001C36A2" w:rsidRPr="00322B1D">
              <w:rPr>
                <w:rFonts w:ascii="Times New Roman" w:hAnsi="Times New Roman" w:cs="Times New Roman"/>
                <w:color w:val="000000" w:themeColor="text1"/>
              </w:rPr>
              <w:t xml:space="preserve"> </w:t>
            </w:r>
            <w:hyperlink r:id="rId7" w:history="1">
              <w:r>
                <w:rPr>
                  <w:rStyle w:val="Hyperlink"/>
                  <w:rFonts w:ascii="Times New Roman" w:hAnsi="Times New Roman" w:cs="Times New Roman"/>
                </w:rPr>
                <w:t>253/2026/NĐ-CP</w:t>
              </w:r>
            </w:hyperlink>
          </w:p>
        </w:tc>
        <w:tc>
          <w:tcPr>
            <w:tcW w:w="2801" w:type="pct"/>
          </w:tcPr>
          <w:p w14:paraId="18F0938D" w14:textId="6288D311"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CỘNG</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HÒA</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XÃ</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HỘI</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CHỦ</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NGHĨA</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VIỆT</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NAM</w:t>
            </w:r>
            <w:r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Độc</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lập</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Tự</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do</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Hạnh</w:t>
            </w:r>
            <w:r w:rsidR="001C36A2"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phúc</w:t>
            </w:r>
            <w:r w:rsidRPr="00322B1D">
              <w:rPr>
                <w:rFonts w:ascii="Times New Roman" w:hAnsi="Times New Roman" w:cs="Times New Roman"/>
                <w:color w:val="000000" w:themeColor="text1"/>
              </w:rPr>
              <w:br/>
            </w:r>
            <w:r w:rsidRPr="00322B1D">
              <w:rPr>
                <w:rFonts w:ascii="Times New Roman" w:hAnsi="Times New Roman" w:cs="Times New Roman"/>
                <w:color w:val="000000" w:themeColor="text1"/>
                <w:vertAlign w:val="superscript"/>
              </w:rPr>
              <w:t>_________________</w:t>
            </w:r>
            <w:r w:rsidRPr="00322B1D">
              <w:rPr>
                <w:rFonts w:ascii="Times New Roman" w:hAnsi="Times New Roman" w:cs="Times New Roman"/>
                <w:color w:val="000000" w:themeColor="text1"/>
              </w:rPr>
              <w:br/>
            </w:r>
            <w:r w:rsidRPr="00322B1D">
              <w:rPr>
                <w:rFonts w:ascii="Times New Roman" w:hAnsi="Times New Roman" w:cs="Times New Roman"/>
                <w:i/>
                <w:color w:val="000000" w:themeColor="text1"/>
              </w:rPr>
              <w:t>Hà</w:t>
            </w:r>
            <w:r w:rsidR="001C36A2" w:rsidRPr="00322B1D">
              <w:rPr>
                <w:rFonts w:ascii="Times New Roman" w:hAnsi="Times New Roman" w:cs="Times New Roman"/>
                <w:i/>
                <w:color w:val="000000" w:themeColor="text1"/>
              </w:rPr>
              <w:t xml:space="preserve"> </w:t>
            </w:r>
            <w:r w:rsidRPr="00322B1D">
              <w:rPr>
                <w:rFonts w:ascii="Times New Roman" w:hAnsi="Times New Roman" w:cs="Times New Roman"/>
                <w:i/>
                <w:color w:val="000000" w:themeColor="text1"/>
              </w:rPr>
              <w:t>Nội,</w:t>
            </w:r>
            <w:r w:rsidR="001C36A2" w:rsidRPr="00322B1D">
              <w:rPr>
                <w:rFonts w:ascii="Times New Roman" w:hAnsi="Times New Roman" w:cs="Times New Roman"/>
                <w:i/>
                <w:color w:val="000000" w:themeColor="text1"/>
              </w:rPr>
              <w:t xml:space="preserve"> </w:t>
            </w:r>
            <w:r w:rsidRPr="00322B1D">
              <w:rPr>
                <w:rFonts w:ascii="Times New Roman" w:hAnsi="Times New Roman" w:cs="Times New Roman"/>
                <w:i/>
                <w:color w:val="000000" w:themeColor="text1"/>
              </w:rPr>
              <w:t>ngày</w:t>
            </w:r>
            <w:r w:rsidR="001C36A2" w:rsidRPr="00322B1D">
              <w:rPr>
                <w:rFonts w:ascii="Times New Roman" w:hAnsi="Times New Roman" w:cs="Times New Roman"/>
                <w:i/>
                <w:color w:val="000000" w:themeColor="text1"/>
              </w:rPr>
              <w:t xml:space="preserve"> </w:t>
            </w:r>
            <w:r w:rsidRPr="00322B1D">
              <w:rPr>
                <w:rFonts w:ascii="Times New Roman" w:hAnsi="Times New Roman" w:cs="Times New Roman"/>
                <w:i/>
                <w:color w:val="000000" w:themeColor="text1"/>
              </w:rPr>
              <w:t>30</w:t>
            </w:r>
            <w:r w:rsidR="001C36A2" w:rsidRPr="00322B1D">
              <w:rPr>
                <w:rFonts w:ascii="Times New Roman" w:hAnsi="Times New Roman" w:cs="Times New Roman"/>
                <w:i/>
                <w:color w:val="000000" w:themeColor="text1"/>
              </w:rPr>
              <w:t xml:space="preserve"> </w:t>
            </w:r>
            <w:r w:rsidRPr="00322B1D">
              <w:rPr>
                <w:rFonts w:ascii="Times New Roman" w:hAnsi="Times New Roman" w:cs="Times New Roman"/>
                <w:i/>
                <w:color w:val="000000" w:themeColor="text1"/>
              </w:rPr>
              <w:t>tháng</w:t>
            </w:r>
            <w:r w:rsidR="001C36A2" w:rsidRPr="00322B1D">
              <w:rPr>
                <w:rFonts w:ascii="Times New Roman" w:hAnsi="Times New Roman" w:cs="Times New Roman"/>
                <w:i/>
                <w:color w:val="000000" w:themeColor="text1"/>
              </w:rPr>
              <w:t xml:space="preserve"> </w:t>
            </w:r>
            <w:r w:rsidRPr="00322B1D">
              <w:rPr>
                <w:rFonts w:ascii="Times New Roman" w:hAnsi="Times New Roman" w:cs="Times New Roman"/>
                <w:i/>
                <w:color w:val="000000" w:themeColor="text1"/>
              </w:rPr>
              <w:t>6</w:t>
            </w:r>
            <w:r w:rsidR="001C36A2" w:rsidRPr="00322B1D">
              <w:rPr>
                <w:rFonts w:ascii="Times New Roman" w:hAnsi="Times New Roman" w:cs="Times New Roman"/>
                <w:i/>
                <w:color w:val="000000" w:themeColor="text1"/>
              </w:rPr>
              <w:t xml:space="preserve"> </w:t>
            </w:r>
            <w:r w:rsidRPr="00322B1D">
              <w:rPr>
                <w:rFonts w:ascii="Times New Roman" w:hAnsi="Times New Roman" w:cs="Times New Roman"/>
                <w:i/>
                <w:color w:val="000000" w:themeColor="text1"/>
              </w:rPr>
              <w:t>năm</w:t>
            </w:r>
            <w:r w:rsidR="001C36A2" w:rsidRPr="00322B1D">
              <w:rPr>
                <w:rFonts w:ascii="Times New Roman" w:hAnsi="Times New Roman" w:cs="Times New Roman"/>
                <w:i/>
                <w:color w:val="000000" w:themeColor="text1"/>
              </w:rPr>
              <w:t xml:space="preserve"> </w:t>
            </w:r>
            <w:r w:rsidRPr="00322B1D">
              <w:rPr>
                <w:rFonts w:ascii="Times New Roman" w:hAnsi="Times New Roman" w:cs="Times New Roman"/>
                <w:i/>
                <w:color w:val="000000" w:themeColor="text1"/>
              </w:rPr>
              <w:t>2026</w:t>
            </w:r>
          </w:p>
        </w:tc>
      </w:tr>
    </w:tbl>
    <w:p w14:paraId="4E696B43" w14:textId="77777777" w:rsidR="001C36A2" w:rsidRPr="00322B1D" w:rsidRDefault="001C36A2" w:rsidP="001C36A2">
      <w:pPr>
        <w:adjustRightInd w:val="0"/>
        <w:snapToGrid w:val="0"/>
        <w:spacing w:after="0" w:line="240" w:lineRule="auto"/>
        <w:jc w:val="center"/>
        <w:rPr>
          <w:rFonts w:ascii="Times New Roman" w:hAnsi="Times New Roman" w:cs="Times New Roman"/>
          <w:b/>
          <w:color w:val="000000" w:themeColor="text1"/>
        </w:rPr>
      </w:pPr>
    </w:p>
    <w:p w14:paraId="152B28EA" w14:textId="77777777" w:rsidR="001C36A2" w:rsidRPr="00322B1D" w:rsidRDefault="001C36A2" w:rsidP="001C36A2">
      <w:pPr>
        <w:adjustRightInd w:val="0"/>
        <w:snapToGrid w:val="0"/>
        <w:spacing w:after="0" w:line="240" w:lineRule="auto"/>
        <w:jc w:val="center"/>
        <w:rPr>
          <w:rFonts w:ascii="Times New Roman" w:hAnsi="Times New Roman" w:cs="Times New Roman"/>
          <w:b/>
          <w:color w:val="000000" w:themeColor="text1"/>
        </w:rPr>
      </w:pPr>
    </w:p>
    <w:p w14:paraId="5D78EF7D" w14:textId="3D44D84F"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NGHỊ ĐỊNH</w:t>
      </w:r>
    </w:p>
    <w:p w14:paraId="038864CE" w14:textId="77777777"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Quy định chi tiết một số điều và biện pháp để tổ chức,</w:t>
      </w:r>
      <w:r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 xml:space="preserve"> hướng dẫn thi hành Luật Thuế thu nhập cá nhân</w:t>
      </w:r>
    </w:p>
    <w:p w14:paraId="69FB54AD"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228FF6DF" w14:textId="4751C08A"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i/>
          <w:color w:val="000000" w:themeColor="text1"/>
        </w:rPr>
        <w:t xml:space="preserve">Căn cứ Luật Tổ chức Chính phủ số </w:t>
      </w:r>
      <w:hyperlink r:id="rId8" w:history="1">
        <w:r>
          <w:rPr>
            <w:rStyle w:val="Hyperlink"/>
            <w:rFonts w:ascii="Times New Roman" w:hAnsi="Times New Roman" w:cs="Times New Roman"/>
            <w:i/>
          </w:rPr>
          <w:t>63/2025/QH15</w:t>
        </w:r>
      </w:hyperlink>
      <w:r w:rsidRPr="00322B1D">
        <w:rPr>
          <w:rFonts w:ascii="Times New Roman" w:hAnsi="Times New Roman" w:cs="Times New Roman"/>
          <w:i/>
          <w:color w:val="000000" w:themeColor="text1"/>
        </w:rPr>
        <w:t>;</w:t>
      </w:r>
    </w:p>
    <w:p w14:paraId="07FEA028" w14:textId="7EE95585"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i/>
          <w:color w:val="000000" w:themeColor="text1"/>
        </w:rPr>
        <w:t xml:space="preserve">Căn cứ Luật Thuế thu nhập cá nhân số </w:t>
      </w:r>
      <w:hyperlink r:id="rId9" w:history="1">
        <w:r>
          <w:rPr>
            <w:rStyle w:val="Hyperlink"/>
            <w:rFonts w:ascii="Times New Roman" w:hAnsi="Times New Roman" w:cs="Times New Roman"/>
            <w:i/>
          </w:rPr>
          <w:t>109/2025/QH15</w:t>
        </w:r>
      </w:hyperlink>
      <w:r w:rsidRPr="00322B1D">
        <w:rPr>
          <w:rFonts w:ascii="Times New Roman" w:hAnsi="Times New Roman" w:cs="Times New Roman"/>
          <w:i/>
          <w:color w:val="000000" w:themeColor="text1"/>
        </w:rPr>
        <w:t xml:space="preserve"> được sửa đổi, bổ sung bởi Luật số </w:t>
      </w:r>
      <w:hyperlink r:id="rId10" w:history="1">
        <w:r>
          <w:rPr>
            <w:rStyle w:val="Hyperlink"/>
            <w:rFonts w:ascii="Times New Roman" w:hAnsi="Times New Roman" w:cs="Times New Roman"/>
            <w:i/>
          </w:rPr>
          <w:t>09/2026/QH16</w:t>
        </w:r>
      </w:hyperlink>
      <w:r w:rsidRPr="00322B1D">
        <w:rPr>
          <w:rFonts w:ascii="Times New Roman" w:hAnsi="Times New Roman" w:cs="Times New Roman"/>
          <w:i/>
          <w:color w:val="000000" w:themeColor="text1"/>
        </w:rPr>
        <w:t>;</w:t>
      </w:r>
    </w:p>
    <w:p w14:paraId="4E52DB8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i/>
          <w:color w:val="000000" w:themeColor="text1"/>
        </w:rPr>
        <w:t>Theo đề nghị của Bộ trưởng Bộ Tài chính;</w:t>
      </w:r>
    </w:p>
    <w:p w14:paraId="5BBC77F9" w14:textId="77777777" w:rsidR="009166B8" w:rsidRPr="00322B1D" w:rsidRDefault="00A04B29" w:rsidP="001C36A2">
      <w:pPr>
        <w:adjustRightInd w:val="0"/>
        <w:snapToGrid w:val="0"/>
        <w:spacing w:after="0" w:line="240" w:lineRule="auto"/>
        <w:ind w:firstLine="720"/>
        <w:jc w:val="both"/>
        <w:rPr>
          <w:rFonts w:ascii="Times New Roman" w:hAnsi="Times New Roman" w:cs="Times New Roman"/>
          <w:i/>
          <w:color w:val="000000" w:themeColor="text1"/>
        </w:rPr>
      </w:pPr>
      <w:r w:rsidRPr="00322B1D">
        <w:rPr>
          <w:rFonts w:ascii="Times New Roman" w:hAnsi="Times New Roman" w:cs="Times New Roman"/>
          <w:i/>
          <w:color w:val="000000" w:themeColor="text1"/>
        </w:rPr>
        <w:t>Chính phủ ban hành Nghị định quy định chi tiết một số điều và biện pháp để tổ chức, hướng dẫn thi hành Luật Thuế thu nhập cá nhân.</w:t>
      </w:r>
    </w:p>
    <w:p w14:paraId="2D442235"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6853728E" w14:textId="77777777"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 xml:space="preserve">Chương I </w:t>
      </w:r>
    </w:p>
    <w:p w14:paraId="645EAF63" w14:textId="77777777"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NHỮNG QUY ĐỊNH CHUNG</w:t>
      </w:r>
    </w:p>
    <w:p w14:paraId="3D13DE7F"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1F7B683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 Phạm vi điều chỉnh</w:t>
      </w:r>
    </w:p>
    <w:p w14:paraId="5C5909F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Nghị định này quy định chi tiết một số điều của Luật Thuế thu nhập cá nhân, bao gồm: khoản 4 Điều 2; điểm c khoản 2, khoản 11 Điều 3; khoản 22 Điều 4; khoản 5, khoản 6 Điều 5; Điều 6; khoản 5 Điều 7; khoản 2 Điều 8; khoản 2, khoản 4 Điều 11; khoản 4 Điều 12; khoản 4 Điều 13; khoản 3 Điều 14; khoản 4 Điều 18; khoản 4 Điều 19; khoản 3 Điều 23; khoản 2 Điều 24; khoản 3 Điều 27; khoản 5 Điều 28.</w:t>
      </w:r>
    </w:p>
    <w:p w14:paraId="5EE07E0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Nghị định này quy định các biện pháp để tổ chức, hướng dẫn thi hành Luật Thuế thu nhập cá nhân, bao gồm: Người nộp thuế là cá nhân cư trú và cá nhân không cư trú; thu nhập chịu thuế và các khoản thu nhập không tính vào thu nhập chịu thuế; thu nhập được miễn thuế, giảm thuế; điều kiện miễn thuế, giảm thuế; căn cứ tính thuế đối với từng loại thu nhập; quy đổi thu nhập chịu thuế; kỳ tính thuế; khấu trừ thuế, khai thuế thay, nộp thuế thay; quyết toán thuế, hoàn thuế; hiệu lực thi hành.</w:t>
      </w:r>
    </w:p>
    <w:p w14:paraId="6550CEC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2. Đối tượng áp dụng</w:t>
      </w:r>
    </w:p>
    <w:p w14:paraId="681A880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Nghị định này áp dụng đối với người nộp thuế, cơ quan thuế và các tổ chức, cá nhân khác có liên quan đến nội dung quy định tại Điều 1 của Nghị định này.</w:t>
      </w:r>
    </w:p>
    <w:p w14:paraId="5CE0800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3. Người nộp thuế</w:t>
      </w:r>
    </w:p>
    <w:p w14:paraId="2B9C7B7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Người nộp thuế thu nhập cá nhân là cá nhân cư trú có thu nhập chịu thuế quy định tại Điều 3 của Luật Thuế thu nhập cá nhân phát sinh trong và ngoài lãnh thổ Việt Nam và cá nhân không cư trú có thu nhập chịu thuế quy định tại Điều 3 của Luật Thuế thu nhập cá nhân phát sinh trong lãnh thổ Việt Nam.</w:t>
      </w:r>
    </w:p>
    <w:p w14:paraId="2D384AE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Việc xác định cá nhân cư trú và cá nhân không cư trú thực hiện theo quy định tại Điều 4 và Điều 5 của Nghị định này.</w:t>
      </w:r>
    </w:p>
    <w:p w14:paraId="639F851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4. Cá nhân cư trú</w:t>
      </w:r>
    </w:p>
    <w:p w14:paraId="79C1D47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Cá nhân cư trú là cá nhân đáp ứng một trong các điều kiện theo quy định tại khoản 2 Điều 2 của Luật Thuế thu nhập cá nhân và được quy định chi tiết như sau:</w:t>
      </w:r>
    </w:p>
    <w:p w14:paraId="1C01B96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1. Có mặt tại Việt Nam từ 183 ngày trở lên tính trong một năm dương lịch hoặc trong 12 tháng liên tục kể từ ngày đầu tiên có mặt tại Việt Nam. Trong đó, đối với cá nhân nhập cảnh, xuất cảnh, ngày đến được tính là một ngày, ngày đi được tính là một ngày, trường hợp nhập cảnh và xuất cảnh trong cùng một ngày thì được tính chung là một ngày cư trú. Ngày đến và ngày đi được căn cứ </w:t>
      </w:r>
      <w:r w:rsidRPr="00322B1D">
        <w:rPr>
          <w:rFonts w:ascii="Times New Roman" w:hAnsi="Times New Roman" w:cs="Times New Roman"/>
          <w:color w:val="000000" w:themeColor="text1"/>
        </w:rPr>
        <w:lastRenderedPageBreak/>
        <w:t>vào chứng thực của cơ quan quản lý xuất nhập cảnh trên hộ chiếu, giấy thông hành hoặc các tài liệu liên quan tới mục đích nhập cảnh, xuất cảnh của cá nhân khi đến và khi rời Việt Nam.</w:t>
      </w:r>
    </w:p>
    <w:p w14:paraId="0932267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Cá nhân có mặt tại Việt Nam theo quy định tại khoản này là sự hiện diện của cá nhân đó trên lãnh thổ Việt Nam.</w:t>
      </w:r>
    </w:p>
    <w:p w14:paraId="63F9933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Có nơi ở thường xuyên tại Việt Nam theo một trong hai trường hợp sau:</w:t>
      </w:r>
    </w:p>
    <w:p w14:paraId="7891A0D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Có nơi ở đăng ký thường trú, cụ thể như sau:</w:t>
      </w:r>
    </w:p>
    <w:p w14:paraId="05D4154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Đối với công dân Việt Nam: là nơi cá nhân sinh sống thường xuyên, ổn định không có thời hạn tại một chỗ ở nhất định và đã đăng ký thường trú theo quy định của pháp luật về cư trú.</w:t>
      </w:r>
    </w:p>
    <w:p w14:paraId="343FF41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Đối với người nước ngoài: là nơi ở thường trú ghi trong Thẻ thường trú hoặc nơi ở tạm trú khai khi đề nghị đăng ký cấp Thẻ tạm trú do cơ quan có thẩm quyền thuộc Bộ Công an cấp;</w:t>
      </w:r>
    </w:p>
    <w:p w14:paraId="148501C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Có nhà thuê để ở tại Việt Nam theo quy định của pháp luật về nhà ở, với thời hạn của các hợp đồng thuê từ 183 ngày trở lên trong năm tính thuế, cụ thể như sau:</w:t>
      </w:r>
    </w:p>
    <w:p w14:paraId="4DA147A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Cá nhân chưa hoặc không có nơi ở thường xuyên theo hướng dẫn tại điểm a khoản này nhưng có tổng số ngày thuê nhà để ở theo các hợp đồng thuê từ 183 ngày trở lên trong năm tính thuế cũng được xác định là cá nhân cư trú, kể cả trường hợp thuê nhà ở nhiều nơi. Nhà thuê để ở bao gồm cả trường hợp ở khách sạn, ở nhà khách, nhà nghỉ, nhà trọ, ở nơi làm việc, ở trụ sở cơ quan không phân biệt cá nhân tự thuê hay người sử dụng lao động thuê cho người lao động.</w:t>
      </w:r>
    </w:p>
    <w:p w14:paraId="3F473CF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Trường hợp cá nhân có nơi ở thường xuyên tại Việt Nam theo quy định tại khoản 2 Điều này nhưng thực tế có mặt tại Việt Nam dưới 183 ngày trong năm tính thuế mà cá nhân không chứng minh được là cá nhân cư trú của nước nào thì cá nhân đó là cá nhân cư trú tại Việt Nam.</w:t>
      </w:r>
    </w:p>
    <w:p w14:paraId="2AF9D0E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Việc chứng minh là đối tượng cư trú của nước khác được căn cứ vào Giấy chứng nhận cư trú. Trường hợp cá nhân thuộc nước hoặc vùng lãnh thổ đã ký kết Hiệp định tránh đánh thuế hai lần và ngăn ngừa việc trốn lậu thuế với Việt Nam không có quy định cấp Giấy chứng nhận cư trú thì cá nhân cung cấp bản chụp Hộ chiếu để chứng minh thời gian cư trú.</w:t>
      </w:r>
    </w:p>
    <w:p w14:paraId="4CCF0DB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 Cá nhân không cư trú</w:t>
      </w:r>
    </w:p>
    <w:p w14:paraId="3E4E3EB6" w14:textId="77777777" w:rsidR="009166B8" w:rsidRPr="00322B1D" w:rsidRDefault="00A04B29" w:rsidP="001C36A2">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Cá nhân không cư trú theo quy định tại khoản 3 Điều 2 của Luật Thuế thu nhập cá nhân là người không đáp ứng điều kiện quy định tại Điều 4 của Nghị định này.</w:t>
      </w:r>
    </w:p>
    <w:p w14:paraId="667F3FE2"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5AC8910D" w14:textId="77777777"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Chương II</w:t>
      </w:r>
    </w:p>
    <w:p w14:paraId="5B717DC2" w14:textId="77777777"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THU NHẬP CHỊU THUẾ THU NHẬP CÁ NHÂN</w:t>
      </w:r>
    </w:p>
    <w:p w14:paraId="5A9BB4BC"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2BF253B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 Thu nhập chịu thuế</w:t>
      </w:r>
    </w:p>
    <w:p w14:paraId="0A8378D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 nhập chịu thuế của cá nhân gồm các loại thu nhập quy định tại các Điều 7, 8, 9, 10, 11, 12, 13, 14, 15 và 16 của Nghị định này, trừ thu nhập được miễn thuế quy định tại Mục 1 Chương III của Nghị định này.</w:t>
      </w:r>
    </w:p>
    <w:p w14:paraId="70BEA6C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Phạm vi xác định thu nhập chịu thuế của cá nhân cư trú và không cư trú được quy định như sau:</w:t>
      </w:r>
    </w:p>
    <w:p w14:paraId="5D1099E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Đối với cá nhân cư trú, thu nhập chịu thuế là thu nhập phát sinh trong và ngoài lãnh thổ Việt Nam, không phân biệt nơi trả và nhận thu nhập;</w:t>
      </w:r>
    </w:p>
    <w:p w14:paraId="60EDE22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Đối với cá nhân không cư trú, thu nhập chịu thuế là thu nhập phát sinh trong lãnh thổ Việt Nam, không phân biệt nơi trả và nhận thu nhập.</w:t>
      </w:r>
    </w:p>
    <w:p w14:paraId="2109CFD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Đối với các nước mà nước Cộng hòa xã hội chủ nghĩa Việt Nam đã ký Hiệp định tránh đánh thuế hai lần và ngăn ngừa việc trốn lậu thuế thì được trừ số thuế thu nhập cá nhân đã nộp tại nước ngoài vào số thuế thu nhập cá nhân phải nộp ở Việt Nam theo quy định của Hiệp định.</w:t>
      </w:r>
    </w:p>
    <w:p w14:paraId="1076D3C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7. Thu nhập từ kinh doanh</w:t>
      </w:r>
    </w:p>
    <w:p w14:paraId="39A84CD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từ kinh doanh quy định tại khoản 1 Điều 3 của Luật Thuế thu nhập cá nhân bao gồm:</w:t>
      </w:r>
    </w:p>
    <w:p w14:paraId="0899C1F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1. Thu nhập từ hoạt động sản xuất, kinh doanh hàng hóa, dịch vụ theo quy định của pháp luật. Riêng đối với thu nhập từ hoạt động của hộ gia đình, cá nhân trực tiếp sản xuất sản phẩm cây trồng, rừng trồng, chăn nuôi, thủy sản nuôi trồng, đánh bắt chưa qua chế biến thành các sản phẩm khác hoặc chỉ qua sơ chế thông thường, sản xuất muối chỉ áp dụng đối với trường hợp không đủ điều kiện được miễn thuế quy định tại Điều 21 của Nghị định này.</w:t>
      </w:r>
    </w:p>
    <w:p w14:paraId="0DB3922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từ hoạt động hành nghề độc lập của cá nhân có giấy phép hoặc chứng chỉ hành nghề và có đăng ký kinh doanh theo quy định của pháp luật.</w:t>
      </w:r>
    </w:p>
    <w:p w14:paraId="3CFA9F1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Thu nhập từ hoạt động đại lý, kể cả đại lý bảo hiểm, đại lý xổ số, đại lý bán hàng đa cấp.</w:t>
      </w:r>
    </w:p>
    <w:p w14:paraId="75B5DC5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Thu nhập từ hoạt động môi giới theo quy định của pháp luật.</w:t>
      </w:r>
    </w:p>
    <w:p w14:paraId="5CD1FAA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Thu nhập từ hoạt động hợp tác kinh doanh với tổ chức, doanh nghiệp.</w:t>
      </w:r>
    </w:p>
    <w:p w14:paraId="7E89897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6. Thu nhập từ hoạt động kinh doanh thương mại điện tử, kinh doanh dựa trên nền tảng số.</w:t>
      </w:r>
    </w:p>
    <w:p w14:paraId="7D6ABDC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8. Thu nhập từ tiền lương, tiền công</w:t>
      </w:r>
    </w:p>
    <w:p w14:paraId="02FF030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từ tiền lương, tiền công quy định tại khoản 2 Điều 3 của Luật Thuế thu nhập cá nhân bao gồm:</w:t>
      </w:r>
    </w:p>
    <w:p w14:paraId="0C2358D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Tiền lương, tiền công và các khoản có tính chất tiền lương, tiền công mà người lao động nhận được từ người sử dụng lao động dưới mọi hình thức bằng tiền hoặc không bằng tiền.</w:t>
      </w:r>
    </w:p>
    <w:p w14:paraId="4314064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Tiền thù lao, các khoản lợi ích bằng tiền hoặc không bằng tiền mà cá nhân nhận được từ tổ chức, cá nhân, người sử dụng lao động dưới mọi hình thức:</w:t>
      </w:r>
    </w:p>
    <w:p w14:paraId="724197E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Tiền tham gia đề tài, dự án, đề án; tiền nhuận bút theo quy định của pháp luật về chế độ nhuận bút; tiền tham gia các hoạt động giảng dạy; tiền tham gia biểu diễn văn hóa, nghệ thuật, thể dục, thể thao;</w:t>
      </w:r>
    </w:p>
    <w:p w14:paraId="596DDD8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Tiền nhận được từ tham gia hội đồng quản trị, ban kiểm soát, hội đồng quản lý, các hiệp hội, hội nghề nghiệp, các hội được thành lập theo quy định của pháp luật và các tổ chức khác;</w:t>
      </w:r>
    </w:p>
    <w:p w14:paraId="66D83EB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Tiền thù lao nhận được từ cung cấp dịch vụ của cá nhân không đăng ký kinh doanh, không đăng ký thuế cho hoạt động kinh doanh, kể cả có hay không có giấy phép hoặc chứng chỉ hành nghề;</w:t>
      </w:r>
    </w:p>
    <w:p w14:paraId="10EAAE9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d) Phí hội viên và các khoản chi phí dịch vụ khác phục vụ cho cá nhân để chăm sóc sức khỏe, vui chơi, thể thao, giải trí, thẩm mỹ. Trường hợp các dịch vụ này được sử dụng chung, không ghi tên cá nhân hoặc nhóm cá nhân sử dụng tại phiếu hoặc thẻ hội viên thì không tính vào thu nhập chịu thuế;</w:t>
      </w:r>
    </w:p>
    <w:p w14:paraId="16380AC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 Phần khoán chi văn phòng phẩm, công tác phí, điện thoại, trang phục phục vụ công việc của cá nhân cao hơn mức quy định sau đây:</w:t>
      </w:r>
    </w:p>
    <w:p w14:paraId="7F034CA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Đối với cán bộ, công chức, viên chức và người làm việc trong các cơ quan hành chính nhà nước, đơn vị sự nghiệp, Đảng, đoàn thể, hội, hiệp hội: mức khoán chi áp dụng theo văn bản của cơ quan nhà nước có thẩm quyền hoặc theo quy chế của cơ quan, tổ chức đó.</w:t>
      </w:r>
    </w:p>
    <w:p w14:paraId="3CA0E8B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Đối với người lao động làm việc trong các doanh nghiệp, tổ chức khác có hoạt động sản xuất, kinh doanh: mức khoán chi áp dụng phù hợp với việc xác định chi phí được trừ khi tính thuế thu nhập doanh nghiệp theo pháp luật về thuế thu nhập doanh nghiệp.</w:t>
      </w:r>
    </w:p>
    <w:p w14:paraId="040C1E3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Đối với người lao động làm việc trong các tổ chức quốc tế, các văn phòng đại diện của tổ chức nước ngoài: mức khoán chi thực hiện theo quy định của tổ chức quốc tế, văn phòng đại diện của tổ chức nước ngoài;</w:t>
      </w:r>
    </w:p>
    <w:p w14:paraId="5FF072E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e) Khoản tiền do người sử dụng lao động đóng góp tham gia bảo hiểm hưu trí bổ sung theo quy định của Luật Bảo hiểm xã hội, mua bảo hiểm hưu trí tự nguyện, bảo hiểm nhân thọ cho người lao động;</w:t>
      </w:r>
    </w:p>
    <w:p w14:paraId="267608D4" w14:textId="33E25A23"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g) Khoản tiền ăn giữa ca, ăn trưa do người sử dụng lao động chi cho người lao động vượt quá 1,2 triệu </w:t>
      </w:r>
      <w:hyperlink r:id="rId11" w:history="1">
        <w:r>
          <w:rPr>
            <w:rStyle w:val="Hyperlink"/>
            <w:rFonts w:ascii="Times New Roman" w:hAnsi="Times New Roman" w:cs="Times New Roman"/>
          </w:rPr>
          <w:t>đồng/người/tháng</w:t>
        </w:r>
      </w:hyperlink>
      <w:r w:rsidRPr="00322B1D">
        <w:rPr>
          <w:rFonts w:ascii="Times New Roman" w:hAnsi="Times New Roman" w:cs="Times New Roman"/>
          <w:color w:val="000000" w:themeColor="text1"/>
        </w:rPr>
        <w:t xml:space="preserve">. Trường hợp người sử dụng lao động tổ chức bữa ăn giữa ca, ăn trưa </w:t>
      </w:r>
      <w:r w:rsidRPr="00322B1D">
        <w:rPr>
          <w:rFonts w:ascii="Times New Roman" w:hAnsi="Times New Roman" w:cs="Times New Roman"/>
          <w:color w:val="000000" w:themeColor="text1"/>
        </w:rPr>
        <w:lastRenderedPageBreak/>
        <w:t>cho người lao động dưới các hình thức như trực tiếp nấu ăn, mua suất ăn, cấp phiếu ăn thì không tính vào thu nhập chịu thuế của cá nhân;</w:t>
      </w:r>
    </w:p>
    <w:p w14:paraId="193D63D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h) Tiền nhà ở, điện, nước và các dịch vụ kèm theo (nếu có)</w:t>
      </w:r>
    </w:p>
    <w:p w14:paraId="632CEDA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người lao động được hưởng lợi ích từ nhà ở do người sử dụng lao động xây cho người lao động đang làm việc tại đơn vị thì không tính vào thu nhập chịu thuế thu nhập cá nhân của người lao động đối với khoản lợi ích này, bao gồm cả tiền điện, nước và các dịch vụ kèm theo (nếu có).</w:t>
      </w:r>
    </w:p>
    <w:p w14:paraId="4DA4F2E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tiền thuê nhà ở, điện, nước và các dịch vụ kèm theo (nếu có) do người sử dụng lao động trả thay thì tính vào thu nhập chịu thuế của cá nhân theo số thực tế trả thay nhưng không vượt quá 15% tổng thu nhập chịu thuế của người lao động phát sinh tại đơn vị chưa bao gồm tiền thuê nhà, điện nước và dịch vụ kèm theo (nếu có);</w:t>
      </w:r>
    </w:p>
    <w:p w14:paraId="4C06A72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i) Các khoản thưởng bằng tiền hoặc không bằng tiền, bao gồm cả thưởng bằng chứng khoán; thưởng từ cuộc thi, sự kiện do người sử dụng lao động tổ chức cho người lao động. Đối với các khoản thưởng không bằng tiền, việc quy đổi được thực hiện theo quy định tại Điều 17 của Nghị định này;</w:t>
      </w:r>
    </w:p>
    <w:p w14:paraId="3648A32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k) Các khoản lợi ích khác mà người sử dụng lao động chi cho người lao động, bao gồm cả chi trong các ngày nghỉ, lễ; chi thuê các dịch vụ tư vấn, dịch vụ làm thủ tục về thuế cho đích danh một hoặc một nhóm cá nhân; chi thuê người giúp việc gia đình, lái xe, người làm các công việc khác trong gia đình theo hợp đồng.</w:t>
      </w:r>
    </w:p>
    <w:p w14:paraId="1BA8947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Các khoản phụ cấp, trợ cấp, thu nhập khác, trừ các khoản sau:</w:t>
      </w:r>
    </w:p>
    <w:p w14:paraId="2D539B8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Trợ cấp, phụ cấp ưu đãi hàng tháng và trợ cấp một lần theo quy định của pháp luật về ưu đãi người có công;</w:t>
      </w:r>
    </w:p>
    <w:p w14:paraId="7B815F47" w14:textId="0C19EF70"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b) Trợ cấp hàng tháng, trợ cấp một lần đối với các đối tượng tham gia kháng chiến, bảo vệ </w:t>
      </w:r>
      <w:r w:rsidR="00E34F65" w:rsidRPr="00322B1D">
        <w:rPr>
          <w:rFonts w:ascii="Times New Roman" w:hAnsi="Times New Roman" w:cs="Times New Roman"/>
          <w:color w:val="000000" w:themeColor="text1"/>
        </w:rPr>
        <w:t>t</w:t>
      </w:r>
      <w:r w:rsidRPr="00322B1D">
        <w:rPr>
          <w:rFonts w:ascii="Times New Roman" w:hAnsi="Times New Roman" w:cs="Times New Roman"/>
          <w:color w:val="000000" w:themeColor="text1"/>
        </w:rPr>
        <w:t>ổ quốc, làm nhiệm vụ quốc tế, thanh niên xung phong đã hoàn thành nhiệm vụ;</w:t>
      </w:r>
    </w:p>
    <w:p w14:paraId="2D31289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Trợ cấp, phụ cấp quốc phòng, an ninh; trợ cấp, phụ cấp đối với lực lượng vũ trang;</w:t>
      </w:r>
    </w:p>
    <w:p w14:paraId="51EE339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d) Phụ cấp độc hại, nguy hiểm, bồi dưỡng bằng hiện vật đối với những ngành, nghề hoặc công việc ở nơi làm việc có yếu tố độc hại, nguy hiểm;</w:t>
      </w:r>
    </w:p>
    <w:p w14:paraId="3A3E1DC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 Phụ cấp thu hút, phụ cấp khu vực;</w:t>
      </w:r>
    </w:p>
    <w:p w14:paraId="7C09CAD6" w14:textId="1208A28D"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e) Phụ cấp, trợ cấp, sinh hoạt phí do cơ quan Việt Nam ở nước ngoài chi trả cho thành viên cơ quan Việt Nam ở nước ngoài, phu nhân/phu quân và con đi theo thành viên cơ quan Việt Nam ở nước ngoài theo quy định của Luật Cơ quan đại diện nước Cộng hòa xã hội chủ nghĩa Việt Nam ở nước ngoài, Nghị định số </w:t>
      </w:r>
      <w:hyperlink r:id="rId12" w:history="1">
        <w:r>
          <w:rPr>
            <w:rStyle w:val="Hyperlink"/>
            <w:rFonts w:ascii="Times New Roman" w:hAnsi="Times New Roman" w:cs="Times New Roman"/>
          </w:rPr>
          <w:t>08/2019/NĐ-CP</w:t>
        </w:r>
      </w:hyperlink>
      <w:r w:rsidRPr="00322B1D">
        <w:rPr>
          <w:rFonts w:ascii="Times New Roman" w:hAnsi="Times New Roman" w:cs="Times New Roman"/>
          <w:color w:val="000000" w:themeColor="text1"/>
        </w:rPr>
        <w:t xml:space="preserve"> quy định một số chế độ đối với thành viên cơ quan Việt Nam ở nước ngoài và các văn bản sửa đổi, bổ sung hoặc thay thế;</w:t>
      </w:r>
    </w:p>
    <w:p w14:paraId="1EB768A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g) Trợ cấp tai nạn lao động, bệnh nghề nghiệp, trợ cấp một lần khi sinh con hoặc nhận nuôi con nuôi, trợ cấp do suy giảm khả năng lao động, trợ cấp hưu trí một lần, trợ cấp tuất hàng tháng và các khoản trợ cấp khác theo quy định của pháp luật về bảo hiểm xã hội;</w:t>
      </w:r>
    </w:p>
    <w:p w14:paraId="7D35D01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h) Trợ cấp khó khăn đột xuất, trợ cấp thất nghiệp, trợ cấp thôi việc, trợ cấp mất việc làm theo quy định của pháp luật.</w:t>
      </w:r>
    </w:p>
    <w:p w14:paraId="147DCA6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tổ chức, doanh nghiệp có quy định cụ thể tại quy chế tài chính hoặc quy chế nội bộ hoặc hợp đồng lao động hoặc thỏa ước lao động về mức trợ cấp thôi việc, trợ cấp mất việc làm cao hơn mức quy định của pháp luật thì phần chi trả thực tế vượt mức này cũng không tính vào thu nhập chịu thuế của người lao động;</w:t>
      </w:r>
    </w:p>
    <w:p w14:paraId="38CA40D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i) Trợ cấp đối với các đối tượng được bảo trợ xã hội theo quy định của pháp luật về bảo trợ xã hội;</w:t>
      </w:r>
    </w:p>
    <w:p w14:paraId="42270C4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k) Phụ cấp phục vụ đối với lãnh đạo cấp cao;</w:t>
      </w:r>
    </w:p>
    <w:p w14:paraId="6F0F60F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l) Trợ cấp một lần đối với cá nhân khi chuyển công tác đến vùng có điều kiện kinh tế - xã hội đặc biệt khó khăn, hỗ trợ một lần đối với cán bộ, công chức làm công tác về chủ quyền biển đảo </w:t>
      </w:r>
      <w:r w:rsidRPr="00322B1D">
        <w:rPr>
          <w:rFonts w:ascii="Times New Roman" w:hAnsi="Times New Roman" w:cs="Times New Roman"/>
          <w:color w:val="000000" w:themeColor="text1"/>
        </w:rPr>
        <w:lastRenderedPageBreak/>
        <w:t>theo quy định của pháp luật. Trợ cấp chuyển vùng một lần đối với người nước ngoài đến cư trú tại Việt Nam, người Việt Nam đi làm việc ở nước ngoài, người Việt Nam cư trú dài hạn ở nước ngoài về Việt Nam làm việc.</w:t>
      </w:r>
    </w:p>
    <w:p w14:paraId="3C0743F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Riêng trợ cấp chuyển vùng một lần đối với người nước ngoài đến cư trú tại Việt Nam, người Việt Nam đi làm việc ở nước ngoài, người Việt Nam cư trú dài hạn ở nước ngoài về Việt Nam làm việc theo mức ghi tại quyết định hoặc văn bản điều động, luân chuyển, quy chế tài chính hoặc quy chế nội bộ hoặc hợp đồng lao động hoặc thỏa ước lao động;</w:t>
      </w:r>
    </w:p>
    <w:p w14:paraId="7DC70D9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m) Phụ cấp đối với nhân viên y tế thôn, bản;</w:t>
      </w:r>
    </w:p>
    <w:p w14:paraId="5861D9F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n) Phụ cấp đặc thù ngành, nghề.</w:t>
      </w:r>
    </w:p>
    <w:p w14:paraId="3CF3868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Các khoản phụ cấp, trợ cấp không tính vào thu nhập chịu thuế quy định tại khoản này phải được cơ quan nhà nước có thẩm quyền quy định theo pháp luật về ưu đãi người có công, quốc phòng, an ninh, ngoại giao, lao động, bảo hiểm xã hội, y tế, giáo dục - đào tạo và pháp luật liên quan khác. Trường hợp khoản phụ cấp, trợ cấp nhận được cao hơn mức phụ cấp, trợ cấp quy định thì phần vượt phải tính vào thu nhập chịu thuế thu nhập cá nhân của cá nhân, trừ quy định tại điểm h khoản này.</w:t>
      </w:r>
    </w:p>
    <w:p w14:paraId="657C28C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Các khoản thu nhập không mang tính chất tiền lương, tiền công không tính vào thu nhập chịu thuế thu nhập cá nhân bao gồm:</w:t>
      </w:r>
    </w:p>
    <w:p w14:paraId="673453C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Các khoản tiền thưởng kèm theo các danh hiệu được Nhà nước phong tặng; tiền thưởng kèm theo các danh hiệu thi đua, các hình thức khen thưởng theo quy định của pháp luật về thi đua khen thưởng; tiền thưởng kèm theo giải thưởng quốc gia, giải thưởng quốc tế được Nhà nước Việt Nam thừa nhận; tiền thưởng về cải tiến kỹ thuật, sáng chế, phát minh được cơ quan nhà nước có thẩm quyền công nhận; tiền thưởng về việc phát hiện, khai báo hành vi vi phạm pháp luật với cơ quan nhà nước có thẩm quyền;</w:t>
      </w:r>
    </w:p>
    <w:p w14:paraId="5D7F9139" w14:textId="03F5316B"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Khoản tiền hỗ trợ của người sử dụng lao động cho việc khám bệnh, chữa bệnh hiểm nghèo cho bản thân người lao động và thân nhân của người lao động bao gồm: con đẻ, con nuôi, con riêng của vợ hoặc chồng; vợ hoặc chồng; cha đẻ, mẹ đẻ; cha vợ, mẹ vợ (hoặc cha chồng, mẹ</w:t>
      </w:r>
      <w:r w:rsidR="001C36A2"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chồng); cha dượng, mẹ kế; cha nuôi, mẹ nuôi.</w:t>
      </w:r>
    </w:p>
    <w:p w14:paraId="01F328E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Mức hỗ trợ không tính vào thu nhập chịu thuế là số tiền người sử dụng lao động hỗ trợ thực tế theo hóa đơn, chứng từ nhưng tối đa không quá số tiền trả viện phí của người lao động và thân nhân người lao động sau khi đã trừ số tiền chi trả của tổ chức bảo hiểm (nếu có).</w:t>
      </w:r>
    </w:p>
    <w:p w14:paraId="6875D12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Việc xác định bệnh hiểm nghèo theo quy định của Bộ trưởng Bộ Y tế;</w:t>
      </w:r>
    </w:p>
    <w:p w14:paraId="0AE6BDB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Khoản tiền nhận được theo chế độ liên quan đến sử dụng phương tiện đi lại trong cơ quan nhà nước, đơn vị sự nghiệp công lập, tổ chức Đảng, đoàn thể; phương tiện phục vụ đưa đón người lao động từ nơi ở đến nơi làm việc và ngược lại theo quy chế của đơn vị;</w:t>
      </w:r>
    </w:p>
    <w:p w14:paraId="5107C99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d) Khoản tiền nhận được theo chế độ nhà ở công vụ theo quy định của pháp luật;</w:t>
      </w:r>
    </w:p>
    <w:p w14:paraId="32CDE96B" w14:textId="4A7141E8"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đ) Các khoản nhận được ngoài tiền lương, tiền công do tham gia, phục vụ hoạt động Đảng, đoàn, Quốc hội hoặc xây dựng, tham gia ý kiến, thẩm định, thẩm tra các văn bản pháp luật, Nghị quyết, các báo cáo chính trị; tham gia các đoàn kiểm tra, giám sát; tiếp xúc cử tri, tiếp công dân; trang phục và các công việc khác có liên quan đến phục vụ trực tiếp hoạt động của Văn phòng Quốc hội, Hội đồng </w:t>
      </w:r>
      <w:r w:rsidR="00E34F65" w:rsidRPr="00322B1D">
        <w:rPr>
          <w:rFonts w:ascii="Times New Roman" w:hAnsi="Times New Roman" w:cs="Times New Roman"/>
          <w:color w:val="000000" w:themeColor="text1"/>
        </w:rPr>
        <w:t>d</w:t>
      </w:r>
      <w:r w:rsidRPr="00322B1D">
        <w:rPr>
          <w:rFonts w:ascii="Times New Roman" w:hAnsi="Times New Roman" w:cs="Times New Roman"/>
          <w:color w:val="000000" w:themeColor="text1"/>
        </w:rPr>
        <w:t xml:space="preserve">ân tộc và các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của Quốc hội, các Đoàn đại biểu Quốc hội, Văn phòng Trung ương và các Ban của Đảng, Văn phòng Thành ủy, Tỉnh ủy và các Ban của Thành ủy, Tỉnh ủy;</w:t>
      </w:r>
    </w:p>
    <w:p w14:paraId="20808AD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e) Khoản tiền mua vé máy bay do người sử dụng lao động trả thay (hoặc thanh toán) cho người lao động là người nước ngoài, người lao động là người Việt Nam làm việc ở nước ngoài về phép mỗi năm một lần từ Việt Nam đến quốc gia người nước ngoài mang quốc tịch hoặc quốc gia nơi gia đình người nước ngoài sinh sống và ngược lại, quốc gia nơi người Việt Nam đang làm việc về Việt Nam và ngược lại;</w:t>
      </w:r>
    </w:p>
    <w:p w14:paraId="7E5BDD5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g) Khoản tiền học phí cho con của người lao động nước ngoài học tại Việt Nam, con của người lao động Việt Nam đang làm việc ở nước ngoài học tại nước ngoài theo bậc học từ mầm non đến trung học phổ thông do người sử dụng lao động trả thay (hoặc thanh toán) cho người lao động;</w:t>
      </w:r>
    </w:p>
    <w:p w14:paraId="2547D82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h) Khoản tiền do người sử dụng lao động mua cho người lao động sản phẩm bảo hiểm không bắt buộc và không có tích lũy về phí bảo hiểm, bao gồm cả các sản phẩm sức khỏe, bảo hiểm tử kỳ (không bao gồm sản phẩm bảo hiểm tử kỳ có hoàn phí) mà người tham gia bảo hiểm không nhận được tiền phí tích lũy từ việc tham gia bảo hiểm, ngoài khoản tiền bảo hiểm hoặc bồi thường theo thỏa thuận tại hợp đồng bảo hiểm do doanh nghiệp bảo hiểm trả.</w:t>
      </w:r>
    </w:p>
    <w:p w14:paraId="503D3AB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mua bảo hiểm không bắt buộc và không có tích lũy về phí bảo hiểm của các doanh nghiệp bảo hiểm không thành lập và hoạt động theo pháp luật Việt Nam nhưng được phép bán bảo hiểm tại Việt Nam thì cũng không tính vào thu nhập chịu thuế thu nhập cá nhân quy định tại điểm này;</w:t>
      </w:r>
    </w:p>
    <w:p w14:paraId="580389A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i) Khoản chi do người sử dụng lao động trả thay tiền đào tạo nâng cao trình độ, tay nghề cho người lao động phù hợp với công việc chuyên môn, nghiệp vụ của người lao động hoặc theo kế hoạch của người sử dụng lao động;</w:t>
      </w:r>
    </w:p>
    <w:p w14:paraId="1AC4A47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k) Các khoản thanh toán mà người sử dụng lao động trả cho nhà cung cấp hoặc cho người lao động để phục vụ việc điều động, luân chuyển, đi công tác của người lao động theo quy định tại quyết định hoặc văn bản điều động, luân chuyển, cử người lao động đi công tác, quy chế tài chính hoặc quy chế nội bộ hoặc hợp đồng lao động hoặc thỏa ước lao động và có hóa đơn, chứng từ theo quy định;</w:t>
      </w:r>
    </w:p>
    <w:p w14:paraId="04E5FFB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l) Các khoản thu nhập của cá nhân nhận được từ các hội, tổ chức tài trợ trong trường hợp cá nhân là thành viên của hội, tổ chức đó khi tham gia sáng tác các tác phẩm văn học nghệ thuật để thực hiện nhiệm vụ chính trị của Nhà nước hoặc theo chương trình hoạt động phù hợp với điều lệ của hội, tổ chức và kinh phí tài trợ được sử dụng từ nguồn ngân sách nhà nước hoặc được quản lý theo quy định của Nhà nước;</w:t>
      </w:r>
    </w:p>
    <w:p w14:paraId="068FAF7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m) Khoản tiền nhận được từ người sử dụng lao động chi đám hiếu, hỉ cho bản thân và gia đình người lao động theo quy chế tài chính hoặc quy chế nội bộ hoặc hợp đồng lao động hoặc thỏa ước lao động của đơn vị trả thu nhập và phù hợp với mức được trừ khi xác định thu nhập chịu thuế thu nhập doanh nghiệp theo pháp luật về thuế thu nhập doanh nghiệp;</w:t>
      </w:r>
    </w:p>
    <w:p w14:paraId="514BA44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n) Tiền và lợi ích nhận được từ nguồn tài chính công đoàn không mang tính chất tiền lương, tiền công theo quy định của Luật Công đoàn;</w:t>
      </w:r>
    </w:p>
    <w:p w14:paraId="5DEAF4AA" w14:textId="4DEEABAA"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o) Tiền chế độ dinh dưỡng, chế độ đặc thù chăm sóc bảo đảm sức khỏe và sinh lý phụ nữ theo quy định tại Điều 5 và Điều 8 của Nghị định số </w:t>
      </w:r>
      <w:hyperlink r:id="rId13" w:history="1">
        <w:r>
          <w:rPr>
            <w:rStyle w:val="Hyperlink"/>
            <w:rFonts w:ascii="Times New Roman" w:hAnsi="Times New Roman" w:cs="Times New Roman"/>
          </w:rPr>
          <w:t>349/2025/NĐ-CP</w:t>
        </w:r>
      </w:hyperlink>
      <w:r w:rsidRPr="00322B1D">
        <w:rPr>
          <w:rFonts w:ascii="Times New Roman" w:hAnsi="Times New Roman" w:cs="Times New Roman"/>
          <w:color w:val="000000" w:themeColor="text1"/>
        </w:rPr>
        <w:t xml:space="preserve"> quy định chế độ, chính sách đối với thành viên đội thể thao tham gia tập trung tập huấn, thi đấu.</w:t>
      </w:r>
    </w:p>
    <w:p w14:paraId="19B8FDA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9. Thu nhập từ đầu tư vốn</w:t>
      </w:r>
    </w:p>
    <w:p w14:paraId="68E84FC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từ đầu tư vốn quy định tại khoản 3 Điều 3 của Luật Thuế thu nhập cá nhân bao gồm:</w:t>
      </w:r>
    </w:p>
    <w:p w14:paraId="33496A2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Tiền lãi nhận được từ việc cho các tổ chức, doanh nghiệp, hộ gia đình, cá nhân vay theo hợp đồng vay hoặc thỏa thuận vay.</w:t>
      </w:r>
    </w:p>
    <w:p w14:paraId="2279FA0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Cổ tức nhận được từ việc góp vốn mua cổ phần; lợi tức nhận được do tham gia góp vốn vào công ty trách nhiệm hữu hạn, công ty hợp danh, hợp tác xã, liên hiệp hợp tác xã, liên doanh, hợp đồng hợp tác kinh doanh và các hình thức kinh doanh khác theo quy định của pháp luật; lợi tức nhận được do tham gia góp vốn vào tổ chức tín dụng; lợi tức nhận được do góp vốn vào quỹ đầu tư chứng khoán và quỹ đầu tư khác được thành lập và hoạt động theo quy định của pháp luật.</w:t>
      </w:r>
    </w:p>
    <w:p w14:paraId="3C79267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Thu nhập từ đầu tư vốn dưới các hình thức khác như:</w:t>
      </w:r>
    </w:p>
    <w:p w14:paraId="0EC6B51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Phần tăng thêm của giá trị vốn góp nhận được khi giải thể doanh nghiệp, chuyển đổi mô hình hoạt động, chia, tách, sáp nhập, hợp nhất doanh nghiệp hoặc khi rút vốn;</w:t>
      </w:r>
    </w:p>
    <w:p w14:paraId="781D52B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b) Thu nhập nhận được từ lãi trái phiếu, tín phiếu và các giấy tờ có giá khác do các tổ chức trong nước phát hành;</w:t>
      </w:r>
    </w:p>
    <w:p w14:paraId="17FA6AB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Các khoản thu nhập nhận được từ đầu tư vốn dưới các hình thức khác theo quy định của pháp luật, kể cả trường hợp góp vốn đầu tư bằng hiện vật, quyền sử dụng đất, tài sản gắn liền với đất, quyền sở hữu trí tuệ, công nghệ và bí quyết kỹ thuật;</w:t>
      </w:r>
    </w:p>
    <w:p w14:paraId="7CDD495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d) Thu nhập từ cổ tức trả bằng cổ phiếu, cổ phiếu phát hành từ nguồn vốn chủ sở hữu cho cổ đông hiện hữu, thu nhập từ lợi tức ghi tăng vốn.</w:t>
      </w:r>
    </w:p>
    <w:p w14:paraId="5053A4C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10. Thu nhập từ chuyển nhượng vốn</w:t>
      </w:r>
    </w:p>
    <w:p w14:paraId="33E4A6F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từ chuyển nhượng vốn quy định tại khoản 4 Điều 3 của Luật Thuế thu nhập cá nhân bao gồm:</w:t>
      </w:r>
    </w:p>
    <w:p w14:paraId="65E6B25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 nhập từ chuyển nhượng một phần hoặc toàn bộ số vốn góp trong công ty trách nhiệm hữu hạn, công ty hợp danh, hợp đồng hợp tác kinh doanh, hợp tác xã, liên hiệp hợp tác xã, quỹ tín dụng nhân dân, tổ chức khác.</w:t>
      </w:r>
    </w:p>
    <w:p w14:paraId="5E55890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từ chuyển nhượng chứng khoán là thu nhập từ chuyển nhượng cổ phiếu, quyền mua cổ phiếu; chuyển nhượng trái phiếu, tín phiếu, chứng chỉ quỹ và các loại chứng khoán khác theo quy định của pháp luật về chứng khoán; thu nhập từ chuyển nhượng cổ phiếu của các cá nhân trong công ty cổ phần theo quy định tại khoản 2 Điều 4 của Luật Chứng khoán và Điều 121 của Luật Doanh nghiệp.</w:t>
      </w:r>
    </w:p>
    <w:p w14:paraId="1277ADD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Thu nhập khi góp vốn bằng phần vốn góp, chứng khoán để thành lập doanh nghiệp hoặc tăng vốn của doanh nghiệp theo quy định của pháp luật.</w:t>
      </w:r>
    </w:p>
    <w:p w14:paraId="1453C23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Thu nhập từ chuyển nhượng vốn dưới các hình thức khác, bao gồm cả trường hợp bán doanh nghiệp, chuyển nhượng quyền góp vốn và các hình thức chuyển nhượng vốn khác theo quy định của pháp luật.</w:t>
      </w:r>
    </w:p>
    <w:p w14:paraId="6C4F17B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Trường hợp bán toàn bộ doanh nghiệp tư nhân, công ty trách nhiệm hữu hạn một thành viên do một cá nhân làm chủ sở hữu dưới hình thức chuyển nhượng vốn có gắn với bất động sản thì được xác định là thu nhập từ hoạt động chuyển nhượng bất động sản.</w:t>
      </w:r>
    </w:p>
    <w:p w14:paraId="314DAFD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11. Thu nhập từ chuyển nhượng bất động sản</w:t>
      </w:r>
    </w:p>
    <w:p w14:paraId="0C603F7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từ chuyển nhượng bất động sản quy định tại khoản 5 Điều 3 của Luật Thuế thu nhập cá nhân là thu nhập từ hoạt động chuyển nhượng, hoạt động ủy quyền mà người nhận ủy quyền có đầy đủ nội dung như quyền sở hữu đối với bất động sản theo quy định của pháp luật về dân sự được quy định cụ thể như sau:</w:t>
      </w:r>
    </w:p>
    <w:p w14:paraId="636EDEE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 nhập từ chuyển nhượng quyền sử dụng đất; thu nhập từ chuyển nhượng quyền sử dụng đất và tài sản gắn liền với đất, trong đó tài sản gắn liền với đất bao gồm:</w:t>
      </w:r>
    </w:p>
    <w:p w14:paraId="2F6AA36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Nhà ở, kể cả nhà ở hình thành trong tương lai;</w:t>
      </w:r>
    </w:p>
    <w:p w14:paraId="290C866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Kết cấu hạ tầng và các công trình xây dựng gắn liền với đất, bao gồm cả công trình xây dựng hình thành trong tương lai theo pháp luật về kinh doanh bất động sản;</w:t>
      </w:r>
    </w:p>
    <w:p w14:paraId="608E112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Các tài sản là sản phẩm nông nghiệp, lâm nghiệp, ngư nghiệp gắn liền với đất.</w:t>
      </w:r>
    </w:p>
    <w:p w14:paraId="45344A2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từ chuyển nhượng quyền sở hữu hoặc sử dụng nhà ở, bao gồm cả nhà ở hình thành trong tương lai theo pháp luật về kinh doanh bất động sản.</w:t>
      </w:r>
    </w:p>
    <w:p w14:paraId="020C825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Thu nhập từ chuyển nhượng quyền thuê đất trong hợp đồng thuê đất (bao gồm cả đất có mặt nước), quyền thuê mặt nước.</w:t>
      </w:r>
    </w:p>
    <w:p w14:paraId="34F23AB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Các khoản thu nhập khác nhận được từ chuyển nhượng bất động sản dưới mọi hình thức, bao gồm cả thu nhập khi góp vốn bằng bất động sản để thành lập doanh nghiệp hoặc tăng vốn của doanh nghiệp theo quy định của pháp luật.</w:t>
      </w:r>
    </w:p>
    <w:p w14:paraId="4BC2A3B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12. Thu nhập từ trúng thưởng</w:t>
      </w:r>
    </w:p>
    <w:p w14:paraId="0510A22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Thu nhập từ trúng thưởng quy định tại khoản 6 Điều 3 của Luật Thuế thu nhập cá nhân là các khoản tiền hoặc hiện vật mà cá nhân nhận được bao gồm:</w:t>
      </w:r>
    </w:p>
    <w:p w14:paraId="6A290B0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Trúng thưởng xổ số do các công ty xổ số phát hành trả thưởng.</w:t>
      </w:r>
    </w:p>
    <w:p w14:paraId="4399F8F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Trúng thưởng trong các hình thức khuyến mại khi tham gia mua bán hàng hóa, dịch vụ theo quy định của Luật Thương mại.</w:t>
      </w:r>
    </w:p>
    <w:p w14:paraId="04F1169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Trúng thưởng trong các hình thức đặt cược được pháp luật cho phép.</w:t>
      </w:r>
    </w:p>
    <w:p w14:paraId="2FFD5AA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Trúng thưởng trong các trò chơi, cuộc thi có thưởng và các hình thức trúng thưởng khác, trừ trúng thưởng trong casino và khoản tiền thưởng quy định tại điểm i khoản 2 Điều 8 của Nghị định này.</w:t>
      </w:r>
    </w:p>
    <w:p w14:paraId="258C904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13. Thu nhập từ tiền bản quyền</w:t>
      </w:r>
    </w:p>
    <w:p w14:paraId="1C8840E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từ tiền bản quyền quy định tại khoản 7 Điều 3 của Luật Thuế thu nhập cá nhân bao gồm:</w:t>
      </w:r>
    </w:p>
    <w:p w14:paraId="322D8A9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 nhập từ hoạt động chuyển nhượng, chuyển quyền sử dụng các đối tượng của quyền sở hữu trí tuệ theo quy định của pháp luật về sở hữu trí tuệ.</w:t>
      </w:r>
    </w:p>
    <w:p w14:paraId="182BC6E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từ chuyển giao công nghệ theo quy định của pháp luật về chuyển giao công nghệ.</w:t>
      </w:r>
    </w:p>
    <w:p w14:paraId="627AA79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14. Thu nhập từ nhượng quyền thương mại</w:t>
      </w:r>
    </w:p>
    <w:p w14:paraId="167D437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từ nhượng quyền thương mại quy định tại khoản 8 Điều 3 của Luật Thuế thu nhập cá nhân là các khoản thu nhập mà cá nhân nhận được từ các hợp đồng nhượng quyền thương mại, bao gồm cả trường hợp nhượng lại quyền thương mại theo quy định của pháp luật về thương mại.</w:t>
      </w:r>
    </w:p>
    <w:p w14:paraId="5E92421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15. Thu nhập từ nhận thừa kế, quà tặng</w:t>
      </w:r>
    </w:p>
    <w:p w14:paraId="2BFE2A9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từ nhận thừa kế, quà tặng quy định tại khoản 9 Điều 3 của Luật Thuế thu nhập cá nhân bao gồm:</w:t>
      </w:r>
    </w:p>
    <w:p w14:paraId="50B5ED6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 nhập từ nhận thừa kế, quà tặng là một phần hoặc toàn bộ số vốn góp trong công ty trách nhiệm hữu hạn, công ty hợp danh, hợp đồng hợp tác kinh doanh, hợp tác xã, liên hiệp hợp tác xã, quỹ tín dụng nhân dân, tổ chức khác.</w:t>
      </w:r>
    </w:p>
    <w:p w14:paraId="6E625C5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từ nhận thừa kế, quà tặng là cổ phiếu, quyền mua cổ phiếu; trái phiếu, tín phiếu, chứng chỉ quỹ và các loại chứng khoán khác theo quy định của pháp luật về chứng khoán; cổ phiếu của các cá nhân trong công ty cổ phần theo quy định tại khoản 2 Điều 4 của Luật Chứng khoán và Điều 121 của Luật Doanh nghiệp.</w:t>
      </w:r>
    </w:p>
    <w:p w14:paraId="4E7E5FF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Thu nhập từ nhận thừa kế, quà tặng là bất động sản bao gồm: quyền sử dụng đất; quyền sử dụng đất có tài sản gắn liền với đất; quyền sở hữu nhà, kể cả nhà ở hình thành trong tương lai; kết cấu hạ tầng và các công trình xây dựng gắn liền với đất, kể cả công trình xây dựng hình thành trong tương lai; quyền thuê đất trong hợp đồng thuê đất (bao gồm cả đất có mặt nước); quyền thuê mặt nước; tài sản khác là bất động sản theo quy định của pháp luật.</w:t>
      </w:r>
    </w:p>
    <w:p w14:paraId="613423B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Thu nhập từ nhận thừa kế, quà tặng là ô tô, xe gắn máy, xe mô tô, tàu thủy, kể cả sà lan, ca nô, tàu kéo, tàu đẩy, thuyền, kể cả du thuyền, tàu bay, súng săn, súng thể thao và các tài sản khác phải đăng ký quyền sở hữu hoặc quyền sử dụng với cơ quan quản lý nhà nước.</w:t>
      </w:r>
    </w:p>
    <w:p w14:paraId="284B7BB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16. Thu nhập khác</w:t>
      </w:r>
    </w:p>
    <w:p w14:paraId="72D64A4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khác quy định tại khoản 10 Điều 3 của Luật Thuế thu nhập cá nhân bao gồm:</w:t>
      </w:r>
    </w:p>
    <w:p w14:paraId="21ECC9CF" w14:textId="03C962EB"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1. Thu nhập từ chuyển nhượng tên miền quốc gia Việt Nam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.vn</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xml:space="preserve"> là khoản thu nhập nhận được từ việc chuyển nhượng quyền sử dụng tên miền quốc gia Việt Nam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.vn</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xml:space="preserve"> cho tổ chức, cá nhân khác.</w:t>
      </w:r>
    </w:p>
    <w:p w14:paraId="1406C446" w14:textId="526D0DBE"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từ chuyển nhượng kết quả giảm phát thải khí nhà kính, tín chỉ các</w:t>
      </w:r>
      <w:r w:rsidR="00E34F65" w:rsidRPr="00322B1D">
        <w:rPr>
          <w:rFonts w:ascii="Times New Roman" w:hAnsi="Times New Roman" w:cs="Times New Roman"/>
          <w:color w:val="000000" w:themeColor="text1"/>
        </w:rPr>
        <w:t xml:space="preserve"> b</w:t>
      </w:r>
      <w:r w:rsidRPr="00322B1D">
        <w:rPr>
          <w:rFonts w:ascii="Times New Roman" w:hAnsi="Times New Roman" w:cs="Times New Roman"/>
          <w:color w:val="000000" w:themeColor="text1"/>
        </w:rPr>
        <w:t>on của cá nhân sở hữu kết quả giảm phát thải khí nhà kính, tín chỉ các</w:t>
      </w:r>
      <w:r w:rsidR="00E34F65"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bon trừ trường hợp quy định tại khoản 1 Điều 34 của Nghị định này.</w:t>
      </w:r>
    </w:p>
    <w:p w14:paraId="62A45C2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3. Thu nhập từ chuyển nhượng biển số xe trúng đấu giá theo quy định của pháp luật.</w:t>
      </w:r>
    </w:p>
    <w:p w14:paraId="566F991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Thu nhập từ chuyển nhượng tài sản số bao gồm tài sản ảo, tài sản mã hóa và các tài sản số khác theo quy định của pháp luật về công nghiệp công nghệ số.</w:t>
      </w:r>
    </w:p>
    <w:p w14:paraId="1250A9D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17. Quy đổi thu nhập chịu thuế</w:t>
      </w:r>
    </w:p>
    <w:p w14:paraId="3B8FCC6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 nhập chịu thuế thu nhập cá nhân nhận được bằng ngoại tệ phải quy đổi ra Đồng Việt Nam theo tỷ giá mua vào của ngân hàng thương mại nơi cá nhân mở tài khoản giao dịch hoặc nơi tổ chức, cá nhân chi trả thu nhập mở tài khoản thực hiện chi trả thu nhập tại thời điểm phát sinh thu nhập. Trường hợp tổ chức, cá nhân không mở tài khoản tại Việt Nam thì lấy theo tỷ giá trung tâm của Đồng Việt Nam với Đô la Mỹ hoặc tỷ giá tính chéo của Đồng Việt Nam với một số ngoại tệ khác công bố trên cổng thông tin điện tử của Ngân hàng Nhà nước Việt Nam tại thời điểm phát sinh thu nhập.</w:t>
      </w:r>
    </w:p>
    <w:p w14:paraId="16A199EF" w14:textId="77777777" w:rsidR="009166B8" w:rsidRPr="00322B1D" w:rsidRDefault="00A04B29" w:rsidP="001C36A2">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chịu thuế thu nhập cá nhân nhận được không bằng tiền phải được quy đổi ra tiền và tính theo Đồng Việt Nam theo giá trị giao dịch thông thường trên thị trường của sản phẩm, dịch vụ đó hoặc sản phẩm, dịch vụ cùng loại hoặc tương đương tại thời điểm phát sinh thu nhập.</w:t>
      </w:r>
    </w:p>
    <w:p w14:paraId="33CCD8F6" w14:textId="77777777" w:rsidR="001C36A2" w:rsidRPr="00322B1D" w:rsidRDefault="001C36A2" w:rsidP="001C36A2">
      <w:pPr>
        <w:adjustRightInd w:val="0"/>
        <w:snapToGrid w:val="0"/>
        <w:spacing w:after="0" w:line="240" w:lineRule="auto"/>
        <w:jc w:val="center"/>
        <w:rPr>
          <w:rFonts w:ascii="Times New Roman" w:hAnsi="Times New Roman" w:cs="Times New Roman"/>
          <w:b/>
          <w:color w:val="000000" w:themeColor="text1"/>
        </w:rPr>
      </w:pPr>
    </w:p>
    <w:p w14:paraId="509B2BBB" w14:textId="702E1AF3"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Chương III</w:t>
      </w:r>
    </w:p>
    <w:p w14:paraId="6BE990D4" w14:textId="77777777"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THU NHẬP ĐƯỢC MIỄN THUẾ, GIẢM THUẾ</w:t>
      </w:r>
    </w:p>
    <w:p w14:paraId="684C0796"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7A66046E" w14:textId="77777777"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Mục 1</w:t>
      </w:r>
    </w:p>
    <w:p w14:paraId="36C4F40F" w14:textId="77777777"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THU NHẬP ĐƯỢC MIỄN THUẾ</w:t>
      </w:r>
    </w:p>
    <w:p w14:paraId="74A241C5"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3CD3C64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18. Thu nhập từ chuyển nhượng, nhận thừa kế, quà tặng là bất động sản</w:t>
      </w:r>
    </w:p>
    <w:p w14:paraId="236A820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chuyển nhượng, nhận thừa kế, quà tặng là bất động sản (bao gồm cả nhà ở, công trình xây dựng hình thành trong tương lai theo quy định của pháp luật về kinh doanh bất động sản) giữa: vợ với chồng; cha đẻ, mẹ đẻ với con đẻ; cha nuôi, mẹ nuôi với con nuôi; cha chồng, mẹ chồng với con dâu (kể cả khi chồng chết); cha vợ, mẹ vợ với con rể (kể cả khi vợ chết); ông nội, bà nội với cháu nội; ông ngoại, bà ngoại với cháu ngoại; anh, chị em ruột với nhau.</w:t>
      </w:r>
    </w:p>
    <w:p w14:paraId="480B70D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Trường hợp bất động sản (bao gồm cả nhà ở, công trình xây dựng hình thành trong tương lai theo quy định pháp luật về kinh doanh bất động sản) khi vợ/chồng ly hôn được phân chia theo thỏa thuận hoặc do tòa án phán quyết thì thu nhập từ việc phân chia tài sản này thuộc diện được miễn thuế.</w:t>
      </w:r>
    </w:p>
    <w:p w14:paraId="79F5566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Hồ sơ, thủ tục miễn thuế thực hiện theo pháp luật về quản lý thuế.</w:t>
      </w:r>
    </w:p>
    <w:p w14:paraId="53FF926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19. Thu nhập từ chuyển nhượng nhà ở, quyền sử dụng đất ở và tài sản gắn liền với đất ở duy nhất của cá nhân</w:t>
      </w:r>
    </w:p>
    <w:p w14:paraId="0E9FE75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chuyển nhượng nhà ở, quyền sử dụng đất ở và tài sản gắn liền với đất ở của cá nhân trong trường hợp người chuyển nhượng chỉ có duy nhất một nhà ở, quyền sử dụng đất ở tại Việt Nam.</w:t>
      </w:r>
    </w:p>
    <w:p w14:paraId="277B96E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Quy định miễn thuế tại khoản này không áp dụng đối với trường hợp chuyển nhượng nhà ở, công trình xây dựng hình thành trong tương lai.</w:t>
      </w:r>
    </w:p>
    <w:p w14:paraId="4B58032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Cá nhân chuyển nhượng có duy nhất một nhà ở, quyền sử dụng đất ở tại Việt Nam được miễn thuế theo quy định tại khoản 1 Điều này phải đáp ứng các điều kiện sau:</w:t>
      </w:r>
    </w:p>
    <w:p w14:paraId="0A7D47E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Chỉ có duy nhất quyền sở hữu một nhà ở hoặc quyền sử dụng một thửa đất ở (bao gồm cả trường hợp có nhà ở hoặc công trình xây dựng gắn liền với thửa đất đó) tại thời điểm chuyển nhượng. Trường hợp cá nhân có thêm nhà ở, công trình xây dựng hình thành trong tương lai tại thời điểm chuyển nhượng thì việc chuyển nhượng này không được xác định là nhà ở, quyền sử dụng đất ở duy nhất của cá nhân.</w:t>
      </w:r>
    </w:p>
    <w:p w14:paraId="033C623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Trường hợp chuyển nhượng nhà ở có chung quyền sở hữu, đất ở có chung quyền sử dụng (bao gồm cả vợ/chồng có chung quyền sở hữu nhà ở, quyền sử dụng đất ở) thì chỉ cá nhân chưa có </w:t>
      </w:r>
      <w:r w:rsidRPr="00322B1D">
        <w:rPr>
          <w:rFonts w:ascii="Times New Roman" w:hAnsi="Times New Roman" w:cs="Times New Roman"/>
          <w:color w:val="000000" w:themeColor="text1"/>
        </w:rPr>
        <w:lastRenderedPageBreak/>
        <w:t>quyền sở hữu nhà ở, quyền sử dụng đất ở nơi khác được miễn thuế; cá nhân có chung quyền sở hữu nhà ở, quyền sử dụng đất ở còn có quyền sở hữu nhà ở, quyền sử dụng đất ở khác không được miễn thuế;</w:t>
      </w:r>
    </w:p>
    <w:p w14:paraId="3E9127D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Có quyền sở hữu nhà ở, quyền sử dụng đất ở tính đến thời điểm chuyển nhượng tối thiểu là 183 ngày.</w:t>
      </w:r>
    </w:p>
    <w:p w14:paraId="61B1EB4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Thời điểm xác định quyền sở hữu nhà ở, quyền sử dụng đất ở là ngày cấp Giấy chứng nhận quyền sử dụng đất ở, quyền sở hữu nhà ở và tài sản khác gắn liền với đất. Riêng trường hợp được cấp lại, cấp đổi theo quy định của pháp luật về đất đai thì thời điểm xác định quyền sở hữu nhà ở, quyền sử dụng đất ở được tính theo thời điểm cấp Giấy chứng nhận quyền sử dụng đất, quyền sở hữu nhà ở và tài sản khác gắn liền với đất trước khi được cấp lại, cấp đổi;</w:t>
      </w:r>
    </w:p>
    <w:p w14:paraId="019BC58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Chuyển nhượng toàn bộ nhà ở, quyền sử dụng đất ở. Trường hợp cá nhân có quyền hoặc chung quyền sở hữu nhà, quyền sử dụng đất ở duy nhất nhưng chuyển nhượng một phần thì không được miễn thuế cho phần chuyển nhượng đó.</w:t>
      </w:r>
    </w:p>
    <w:p w14:paraId="4FF6AC5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Nhà ở, quyền sử dụng đất ở duy nhất được miễn thuế do cá nhân chuyển nhượng bất động sản tự kê khai và chịu trách nhiệm. Trường hợp phát hiện kê khai không đúng sẽ bị truy thu thuế và xử phạt theo quy định của pháp luật về quản lý thuế và pháp luật liên quan khác.</w:t>
      </w:r>
    </w:p>
    <w:p w14:paraId="453EFBB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Hồ sơ, thủ tục miễn thuế thực hiện theo pháp luật về quản lý thuế.</w:t>
      </w:r>
    </w:p>
    <w:p w14:paraId="1C4CA7C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20. Thu nhập từ giá trị quyền sử dụng đất của cá nhân được Nhà nước giao đất</w:t>
      </w:r>
    </w:p>
    <w:p w14:paraId="43CD4B8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giá trị quyền sử dụng đất của cá nhân được Nhà nước giao đất không phải trả tiền hoặc được giảm tiền sử dụng đất theo quy định của pháp luật.</w:t>
      </w:r>
    </w:p>
    <w:p w14:paraId="35D6F91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Trường hợp cá nhân được miễn, giảm tiền sử dụng đất khi giao đất, nếu chuyển nhượng diện tích đất được miễn, giảm tiền sử dụng đất thì khai, nộp thuế đối với thu nhập từ chuyển nhượng bất động sản.</w:t>
      </w:r>
    </w:p>
    <w:p w14:paraId="131DF38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Hồ sơ, thủ tục miễn thuế thực hiện theo pháp luật về quản lý thuế.</w:t>
      </w:r>
    </w:p>
    <w:p w14:paraId="7F13EFD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21. Thu nhập của hộ gia đình, cá nhân trực tiếp sản xuất sản phẩm cây trồng, rừng trồng, chăn nuôi, thủy sản nuôi trồng, đánh bắt chưa qua chế biến thành các sản phẩm khác hoặc chỉ qua sơ chế thông thường; sản xuất muối</w:t>
      </w:r>
    </w:p>
    <w:p w14:paraId="3AE4B94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của hộ gia đình, cá nhân trực tiếp sản xuất sản phẩm cây trồng, rừng trồng, chăn nuôi, thủy sản nuôi trồng, đánh bắt chưa qua chế biến thành các sản phẩm khác hoặc chỉ qua sơ chế thông thường; sản xuất muối.</w:t>
      </w:r>
    </w:p>
    <w:p w14:paraId="73A414F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Việc miễn thuế đối với thu nhập của hộ gia đình, cá nhân quy định tại khoản 1 Điều này phải đáp ứng các điều kiện sau:</w:t>
      </w:r>
    </w:p>
    <w:p w14:paraId="78C5D29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Có quyền sử dụng đất, quyền thuê đất trong hợp đồng thuê đất (bao gồm cả đất có mặt nước), quyền sử dụng mặt nước, quyền thuê mặt nước hợp pháp để sản xuất và trực tiếp tham gia lao động sản xuất sản phẩm cây trồng, rừng trồng, chăn nuôi, thủy sản nuôi trồng, đánh bắt, sản xuất muối.</w:t>
      </w:r>
    </w:p>
    <w:p w14:paraId="582E1E4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đi thuê lại đất, mặt nước của tổ chức, cá nhân khác thì phải có văn bản thuê đất, mặt nước theo quy định của pháp luật (trừ trường hợp hộ gia đình, cá nhân nhận khoán trồng rừng, chăm sóc, quản lý và bảo vệ rừng theo quy định pháp luật). Đối với hoạt động đánh bắt thủy sản phải có giấy chứng nhận quyền sở hữu hoặc hợp đồng thuê tàu, thuyền sử dụng vào mục đích đánh bắt và trực tiếp tham gia hoạt động đánh bắt thủy sản (trừ trường hợp đánh bắt thủy sản trên sông bằng hình thức đáy sông (đáy cá) và không thuộc những hoạt động khai thác thủy sản bị cấm theo quy định của pháp luật);</w:t>
      </w:r>
    </w:p>
    <w:p w14:paraId="7C4BDDF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Thực tế có nơi cư trú tại địa phương nơi diễn ra hoạt động sản xuất sản phẩm cây trồng, rừng trồng, chăn nuôi, thủy sản nuôi trồng, đánh bắt, sản xuất muối.</w:t>
      </w:r>
    </w:p>
    <w:p w14:paraId="058EF63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Địa phương nơi diễn ra hoạt động sản xuất sản phẩm cây trồng, rừng trồng, chăn nuôi, thủy sản nuôi trồng, sản xuất muối quy định tại điểm này tính theo đơn vị hành chính cấp xã, kể cả xã giáp ranh với xã diễn ra hoạt động sản xuất.</w:t>
      </w:r>
    </w:p>
    <w:p w14:paraId="5889744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Riêng đối với hoạt động đánh bắt thủy sản thì không phụ thuộc nơi cư trú.</w:t>
      </w:r>
    </w:p>
    <w:p w14:paraId="2C3E93C6" w14:textId="3C3E122F"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3. Việc xác định sản phẩm chưa qua chế biến thành các sản phẩm khác hoặc chỉ qua sơ chế thông thường quy định tại khoản 1 Điều này thực hiện theo quy định tại Nghị định số </w:t>
      </w:r>
      <w:hyperlink r:id="rId14" w:history="1">
        <w:r>
          <w:rPr>
            <w:rStyle w:val="Hyperlink"/>
            <w:rFonts w:ascii="Times New Roman" w:hAnsi="Times New Roman" w:cs="Times New Roman"/>
          </w:rPr>
          <w:t>181/2025/NĐ-CP</w:t>
        </w:r>
      </w:hyperlink>
      <w:r w:rsidRPr="00322B1D">
        <w:rPr>
          <w:rFonts w:ascii="Times New Roman" w:hAnsi="Times New Roman" w:cs="Times New Roman"/>
          <w:color w:val="000000" w:themeColor="text1"/>
        </w:rPr>
        <w:t xml:space="preserve"> quy định chi tiết thi hành một số điều của Luật Thuế giá trị gia tăng và các văn bản sửa đổi, bổ sung.</w:t>
      </w:r>
    </w:p>
    <w:p w14:paraId="77B7CD72" w14:textId="6AF47422"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 xml:space="preserve">Điều 22. Thu nhập từ lợi tức cổ phần của thành viên hợp tác xã, liên hiệp hợp tác xã nông nghiệp, cá nhân là nông dân ký kết hợp đồng với doanh nghiệp tham gia </w:t>
      </w:r>
      <w:r w:rsidR="001C36A2" w:rsidRPr="00322B1D">
        <w:rPr>
          <w:rFonts w:ascii="Times New Roman" w:hAnsi="Times New Roman" w:cs="Times New Roman"/>
          <w:b/>
          <w:color w:val="000000" w:themeColor="text1"/>
        </w:rPr>
        <w:t>“</w:t>
      </w:r>
      <w:r w:rsidRPr="00322B1D">
        <w:rPr>
          <w:rFonts w:ascii="Times New Roman" w:hAnsi="Times New Roman" w:cs="Times New Roman"/>
          <w:b/>
          <w:color w:val="000000" w:themeColor="text1"/>
        </w:rPr>
        <w:t>Cánh đồng lớn</w:t>
      </w:r>
      <w:r w:rsidR="001C36A2" w:rsidRPr="00322B1D">
        <w:rPr>
          <w:rFonts w:ascii="Times New Roman" w:hAnsi="Times New Roman" w:cs="Times New Roman"/>
          <w:b/>
          <w:color w:val="000000" w:themeColor="text1"/>
        </w:rPr>
        <w:t>”</w:t>
      </w:r>
      <w:r w:rsidRPr="00322B1D">
        <w:rPr>
          <w:rFonts w:ascii="Times New Roman" w:hAnsi="Times New Roman" w:cs="Times New Roman"/>
          <w:b/>
          <w:color w:val="000000" w:themeColor="text1"/>
        </w:rPr>
        <w:t>, trồng rừng sản xuất, nuôi trồng thủy sản</w:t>
      </w:r>
    </w:p>
    <w:p w14:paraId="6151894B" w14:textId="3420C905"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1. Miễn thuế thu nhập cá nhân đối với thu nhập từ lợi tức cổ phần của thành viên hợp tác xã, liên hiệp hợp tác xã nông nghiệp, cá nhân là nông dân ký kết hợp đồng với doanh nghiệp tham gia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Cánh đồng lớn</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xml:space="preserve"> trong việc sản xuất, tiêu thụ sản phẩm nông sản, trồng rừng sản xuất, nuôi trồng thủy sản.</w:t>
      </w:r>
    </w:p>
    <w:p w14:paraId="100CFE4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Việc xác định thành viên hợp tác xã, liên hiệp hợp tác xã làm căn cứ thực hiện việc miễn thuế quy định tại khoản 1 Điều này thực hiện theo quy định của pháp luật về hợp tác xã.</w:t>
      </w:r>
    </w:p>
    <w:p w14:paraId="5D82CEB1" w14:textId="1023BFD1"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3. Cá nhân tham gia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Cánh đồng lớn</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trồng rừng sản xuất, nuôi trồng thủy sản được miễn thuế theo quy định tại khoản 1 Điều này phải đáp ứng các điều kiện sau:</w:t>
      </w:r>
    </w:p>
    <w:p w14:paraId="7E403649" w14:textId="7F27261B"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a) Có quyền sử dụng đất, quyền thuê đất trong hợp đồng thuê đất (bao gồm cả đất có mặt nước), quyền sử dụng mặt nước, quyền thuê mặt nước hợp pháp để tham gia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Cánh đồng lớn</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trồng rừng sản xuất, nuôi trồng thủy sản (bao gồm cả trường hợp đi thuê lại đất, mặt nước của tổ chức, cá nhân khác theo quy định của pháp luật);</w:t>
      </w:r>
    </w:p>
    <w:p w14:paraId="006F947F" w14:textId="2BA942CC"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b) Thực tế có nơi cư trú tại địa phương nơi diễn ra hoạt động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Cánh đồng lớn</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trồng rừng sản xuất, nuôi trồng thủy sản.</w:t>
      </w:r>
    </w:p>
    <w:p w14:paraId="53A076EB" w14:textId="5A9B79CA"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Địa phương nơi diễn ra hoạt động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Cánh đồng lớn</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xml:space="preserve">, trồng rừng sản xuất, nuôi trồng thủy sản theo hướng dẫn này tính theo đơn vị hành chính cấp xã, kể cả xã giáp ranh với xã diễn ra hoạt động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Cánh đồng lớn</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trồng rừng sản xuất, nuôi trồng thủy sản.</w:t>
      </w:r>
    </w:p>
    <w:p w14:paraId="4DFF0AB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23. Thu nhập từ chuyển đổi đất nông nghiệp của hộ gia đình, cá nhân được Nhà nước giao để sản xuất</w:t>
      </w:r>
    </w:p>
    <w:p w14:paraId="4C4AB84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của cá nhân từ chuyển đổi đất nông nghiệp để hợp lý hóa sản xuất nông nghiệp nhưng không làm thay đổi mục đích sử dụng đất của hộ gia đình, cá nhân trực tiếp sản xuất nông nghiệp, được Nhà nước giao để sản xuất.</w:t>
      </w:r>
    </w:p>
    <w:p w14:paraId="698CD65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Hồ sơ, thủ tục miễn thuế thực hiện theo pháp luật về quản lý thuế.</w:t>
      </w:r>
    </w:p>
    <w:p w14:paraId="5B085B5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24. Thu nhập từ lãi trái phiếu Chính phủ, lãi trái phiếu chính quyền địa phương, lãi tiền gửi tại tổ chức tín dụng, lãi từ hợp đồng bảo hiểm nhân thọ</w:t>
      </w:r>
    </w:p>
    <w:p w14:paraId="6AA5033A" w14:textId="20833833"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1. Miễn thuế thu nhập cá nhân đối với thu nhập của cá nhân từ khoản lãi mà cá nhân nhận được từ trái phiếu Chính phủ do Chính phủ phát hành và trái phiếu chính quyền địa phương do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cấp tỉnh phát hành.</w:t>
      </w:r>
    </w:p>
    <w:p w14:paraId="5779B41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Miễn thuế thu nhập cá nhân đối với khoản lãi tiền gửi cá nhân nhận được từ lãi gửi Đồng Việt Nam, vàng, ngoại tệ tại các tổ chức tín dụng, chi nhánh ngân hàng nước ngoài được thành lập và hoạt động theo quy định của Luật Các tổ chức tín dụng dưới các hình thức gửi không kỳ hạn, có kỳ hạn, gửi tiết kiệm, chứng chỉ tiền gửi (bao gồm cả lãi nhận được từ chuyển nhượng chứng chỉ tiền gửi), kỳ phiếu, tín phiếu và các hình thức nhận tiền gửi khác theo nguyên tắc có hoàn trả đầy đủ tiền gốc, lãi cho người gửi theo thỏa thuận.</w:t>
      </w:r>
    </w:p>
    <w:p w14:paraId="72FFB9E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Miễn thuế thu nhập cá nhân đối với khoản lãi từ hợp đồng bảo hiểm nhân thọ mà cá nhân nhận được theo hợp đồng mua bảo hiểm nhân thọ của các doanh nghiệp bảo hiểm.</w:t>
      </w:r>
    </w:p>
    <w:p w14:paraId="578B353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lastRenderedPageBreak/>
        <w:t>Điều 25. Thu nhập từ kiều hối</w:t>
      </w:r>
    </w:p>
    <w:p w14:paraId="12868E6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khoản tiền cá nhân nhận được từ nước ngoài do thân nhân là người Việt Nam định cư ở nước ngoài, người Việt Nam đi lao động, công tác, học tập tại nước ngoài gửi tiền về cho thân nhân ở trong nước.</w:t>
      </w:r>
    </w:p>
    <w:p w14:paraId="4F12AB9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Trường hợp cá nhân nhận được tiền từ nước ngoài do thân nhân là người nước ngoài gửi về đáp ứng điều kiện về khuyến khích chuyển tiền về nước theo quy định của Ngân hàng Nhà nước Việt Nam thì cũng được miễn thuế theo quy định tại Điều này.</w:t>
      </w:r>
    </w:p>
    <w:p w14:paraId="1A4D77F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Căn cứ xác định thu nhập được miễn thuế là các giấy tờ chứng minh nguồn tiền nhận từ nước ngoài và chứng từ chi tiền của tổ chức trả hộ (nếu có).</w:t>
      </w:r>
    </w:p>
    <w:p w14:paraId="29008D8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26. Tiền lương, tiền công làm việc ban đêm, làm thêm giờ, tiền lương, tiền công trả cho những ngày không nghỉ phép</w:t>
      </w:r>
    </w:p>
    <w:p w14:paraId="154280D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tiền lương, tiền công làm việc ban đêm, làm thêm giờ tại nơi làm việc phù hợp với quy định về điều kiện và thời gian theo pháp luật về lao động.</w:t>
      </w:r>
    </w:p>
    <w:p w14:paraId="335550D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Tổ chức, doanh nghiệp trả thu nhập phải lập bảng kê phản ánh rõ thời gian làm đêm, làm thêm giờ tại nơi làm việc, khoản tiền lương làm đêm, làm thêm giờ đã trả cho người lao động. Bảng kê này được lưu tại tổ chức, doanh nghiệp trả thu nhập và xuất trình khi có yêu cầu của cơ quan thuế. Trường hợp không lập bảng kê riêng, tổ chức trả thu nhập có trách nhiệm chứng minh khoản tiền lương, tiền công làm việc ban đêm, làm thêm giờ tại nơi làm việc thông qua bảng lương, bảng chấm công, hợp đồng lao động và các tài liệu hợp pháp khác.</w:t>
      </w:r>
    </w:p>
    <w:p w14:paraId="6B0AD2F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Miễn thuế thu nhập cá nhân đối với tiền lương, tiền công trả cho những ngày không nghỉ phép phù hợp với quy định về điều kiện và mức tiền lương, tiền công trả cho những ngày không nghỉ phép theo quy định tại khoản 3 Điều 113 của Bộ luật Lao động và quy định của Luật Cán bộ công chức, Luật Viên chức.</w:t>
      </w:r>
    </w:p>
    <w:p w14:paraId="194C5AE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Trường hợp tiền lương, tiền công làm việc ban đêm, làm thêm giờ, tiền lương, tiền công trả cho những ngày không nghỉ phép vượt mức quy định của pháp luật thì phần vượt mức quy định tính vào thu nhập chịu thuế của cá nhân.</w:t>
      </w:r>
    </w:p>
    <w:p w14:paraId="2147E52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27. Tiền lương hưu do Quỹ bảo hiểm xã hội chi trả; thu nhập do quỹ bảo hiểm hưu trí bổ sung, quỹ hưu trí tự nguyện chi trả</w:t>
      </w:r>
    </w:p>
    <w:p w14:paraId="5E2DBF9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tiền lương hưu do Quỹ bảo hiểm xã hội chi trả theo pháp luật về bảo hiểm xã hội, bao gồm cả trường hợp cá nhân sinh sống, làm việc tại Việt Nam nhận được thu nhập từ tiền lương hưu do nước ngoài chi trả.</w:t>
      </w:r>
    </w:p>
    <w:p w14:paraId="1C1CAC5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Miễn thuế thu nhập cá nhân đối với thu nhập do quỹ bảo hiểm hưu trí bổ sung, quỹ hưu trí tự nguyện chi trả, không phân biệt chi trả định kỳ, chi trả một lần, chi trả trước hay sau tuổi nghỉ hưu.</w:t>
      </w:r>
    </w:p>
    <w:p w14:paraId="130CA2A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28. Thu nhập từ học bổng</w:t>
      </w:r>
    </w:p>
    <w:p w14:paraId="66C8D61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học bổng nhận được từ ngân sách nhà nước, bao gồm: học bổng của Bộ Giáo dục và Đào tạo, Sở Giáo dục và Đào tạo, Quỹ học bổng quốc gia, quỹ khuyến tài, khuyến học, cơ sở giáo dục công lập hoặc các loại học bổng khác có nguồn từ ngân sách nhà nước.</w:t>
      </w:r>
    </w:p>
    <w:p w14:paraId="41C9AF4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Miễn thuế thu nhập cá nhân đối với thu nhập từ học bổng nhận được từ các tổ chức trong nước và ngoài nước (bao gồm cả khoản tiền sinh hoạt phí) theo chương trình hỗ trợ của tổ chức đó.</w:t>
      </w:r>
    </w:p>
    <w:p w14:paraId="71572EB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Tổ chức trả học bổng cho cá nhân nêu tại khoản 1 và khoản 2 Điều này phải lưu giữ các quyết định cấp học bổng và các chứng từ trả học bổng. Trường hợp cá nhân nhận học bổng trực tiếp từ các tổ chức nước ngoài thì cá nhân nhận thu nhập phải lưu giữ tài liệu hoặc chứng từ (nếu có) để chứng minh.</w:t>
      </w:r>
    </w:p>
    <w:p w14:paraId="38A7BAC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29. Thu nhập từ bồi thường hợp đồng bảo hiểm nhân thọ, phi nhân thọ, tiền bồi thường tai nạn lao động, khoản bồi thường nhà nước và các khoản bồi thường khác</w:t>
      </w:r>
    </w:p>
    <w:p w14:paraId="15B478A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1. Miễn thuế thu nhập cá nhân đối với thu nhập từ bồi thường hợp đồng bảo hiểm nhân thọ, phi nhân thọ, bảo hiểm sức khỏe mà cá nhân nhận được từ tổ chức bảo hiểm nhân thọ, phi nhân thọ, bảo hiểm sức khỏe, tổ chức cung cấp bảo hiểm vi mô trả cho người được bảo hiểm hoặc người thụ hưởng theo hợp đồng bảo hiểm đã ký kết.</w:t>
      </w:r>
    </w:p>
    <w:p w14:paraId="478444E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Căn cứ xác định khoản bồi thường này là văn bản hoặc quyết định bồi thường của tổ chức bảo hiểm hoặc tòa án và chứng từ trả tiền bồi thường.</w:t>
      </w:r>
    </w:p>
    <w:p w14:paraId="385517C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Miễn thuế thu nhập cá nhân đối với thu nhập từ tiền bồi thường tai nạn lao động mà người lao động nhận được từ người sử dụng lao động hoặc Quỹ bảo hiểm xã hội khi bị tai nạn trong quá trình tham gia lao động.</w:t>
      </w:r>
    </w:p>
    <w:p w14:paraId="337E2BC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Căn cứ xác định khoản bồi thường này là văn bản hoặc quyết định bồi thường của người sử dụng lao động hoặc tòa án và chứng từ chi bồi thường tai nạn lao động.</w:t>
      </w:r>
    </w:p>
    <w:p w14:paraId="0A6215C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Miễn thuế thu nhập cá nhân đối với thu nhập từ bồi thường, hỗ trợ, tái định cư do Nhà nước thu hồi đất theo quy định, kể cả các khoản thu nhập do các tổ chức, doanh nghiệp bồi thường, hỗ trợ khi thực hiện thu hồi đất.</w:t>
      </w:r>
    </w:p>
    <w:p w14:paraId="6FEA851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Căn cứ để xác định thu nhập từ bồi thường, hỗ trợ, tái định cư tại khoản này được xác định theo phương án bồi thường, tái định cư đã được cơ quan nhà nước có thẩm quyền phê duyệt.</w:t>
      </w:r>
    </w:p>
    <w:p w14:paraId="1301226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Miễn thuế thu nhập cá nhân đối với thu nhập từ bồi thường nhà nước theo quy định của pháp luật về bồi thường nhà nước.</w:t>
      </w:r>
    </w:p>
    <w:p w14:paraId="2D9232F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Căn cứ xác định khoản bồi thường này là quyết định của cơ quan nhà nước có thẩm quyền buộc cơ quan hoặc cá nhân có quyết định sai phải bồi thường và chứng từ chi bồi thường.</w:t>
      </w:r>
    </w:p>
    <w:p w14:paraId="5CBA349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Miễn thuế thu nhập cá nhân đối với thu nhập từ bồi thường thiệt hại ngoài hợp đồng (bao gồm lãi chậm trả) theo quy định của Bộ luật Dân sự.</w:t>
      </w:r>
    </w:p>
    <w:p w14:paraId="6E80CFF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Căn cứ xác định khoản bồi thường được miễn thuế dựa trên bản án, quyết định có hiệu lực pháp luật của Tòa án hoặc văn bản thỏa thuận bồi thường thiệt hại giữa các bên đã được công chứng, chứng thực theo quy định của pháp luật.</w:t>
      </w:r>
    </w:p>
    <w:p w14:paraId="5EB7E0C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30. Thu nhập nhận được từ các tổ chức và quỹ từ thiện</w:t>
      </w:r>
    </w:p>
    <w:p w14:paraId="4F37BB7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nhận được từ các tổ chức, quỹ từ thiện được cơ quan nhà nước có thẩm quyền cho phép thành lập hoặc công nhận, hoạt động vì mục đích từ thiện, nhân đạo, khuyến học không vì mục tiêu lợi nhuận.</w:t>
      </w:r>
    </w:p>
    <w:p w14:paraId="281F976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Căn cứ xác định thu nhập được miễn thuế là văn bản hoặc quyết định trao khoản thu nhập của quỹ từ thiện và chứng từ chi tiền, hiện vật từ các tổ chức, quỹ từ thiện.</w:t>
      </w:r>
    </w:p>
    <w:p w14:paraId="5F0015B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31. Thu nhập nhận được từ nguồn viện trợ nước ngoài</w:t>
      </w:r>
    </w:p>
    <w:p w14:paraId="214E22B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nhận được từ nguồn viện trợ nước ngoài vì mục đích từ thiện, nhân đạo dưới hình thức chính phủ và phi chính phủ (bao gồm nguồn viện trợ hỗ trợ phát triển chính thức, viện trợ không thuộc hỗ trợ phát triển chính thức, viện trợ quốc tế khẩn cấp để cứu trợ và khắc phục hậu quả thiên tai) được cơ quan nhà nước có thẩm quyền phê duyệt.</w:t>
      </w:r>
    </w:p>
    <w:p w14:paraId="4D977FE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Căn cứ xác định thu nhập được miễn thuế là văn bản của cơ quan nhà nước có thẩm quyền phê duyệt việc nhận viện trợ.</w:t>
      </w:r>
    </w:p>
    <w:p w14:paraId="4812B98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32. Thu nhập từ tiền lương, tiền công của thuyền viên là người Việt Nam</w:t>
      </w:r>
    </w:p>
    <w:p w14:paraId="1165410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tiền lương, tiền công của thuyền viên là người Việt Nam nhận được do làm việc cho các hãng tàu nước ngoài hoặc các hãng tàu Việt Nam vận tải quốc tế.</w:t>
      </w:r>
    </w:p>
    <w:p w14:paraId="747B4A4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Việc xác định thuyền viên là người Việt Nam làm việc cho các hãng tàu nước ngoài hoặc các hãng tàu Việt Nam vận tải quốc tế được miễn thuế theo quy định tại khoản 1 Điều này thực hiện theo quy định tại Bộ luật Hàng hải Việt Nam và các văn bản quy phạm pháp luật có liên quan.</w:t>
      </w:r>
    </w:p>
    <w:p w14:paraId="38DC94B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lastRenderedPageBreak/>
        <w:t>Điều 33. Thu nhập từ hoạt động cung cấp hàng hóa, dịch vụ trực tiếp phục vụ hoạt động khai thác thủy sản xa bờ</w:t>
      </w:r>
    </w:p>
    <w:p w14:paraId="014279D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Miễn thuế thu nhập cá nhân đối với thu nhập của cá nhân là chủ tàu, cá nhân có quyền sử dụng tàu và cá nhân làm việc trên tàu có được từ hoạt động cung cấp hàng hóa, dịch vụ trực tiếp phục vụ hoạt động khai thác thủy sản xa bờ theo quy định pháp luật.</w:t>
      </w:r>
    </w:p>
    <w:p w14:paraId="6E47FD06" w14:textId="09192903"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34. Thu nhập từ chuyển nhượng chứng chỉ giảm phát thải, chuyển nhượng tín chỉ các</w:t>
      </w:r>
      <w:r w:rsidR="00E34F65" w:rsidRPr="00322B1D">
        <w:rPr>
          <w:rFonts w:ascii="Times New Roman" w:hAnsi="Times New Roman" w:cs="Times New Roman"/>
          <w:b/>
          <w:color w:val="000000" w:themeColor="text1"/>
        </w:rPr>
        <w:t xml:space="preserve"> </w:t>
      </w:r>
      <w:r w:rsidRPr="00322B1D">
        <w:rPr>
          <w:rFonts w:ascii="Times New Roman" w:hAnsi="Times New Roman" w:cs="Times New Roman"/>
          <w:b/>
          <w:color w:val="000000" w:themeColor="text1"/>
        </w:rPr>
        <w:t>bon; thu nhập từ tiền lãi trái phiếu xanh, chuyển nhượng trái phiếu xanh</w:t>
      </w:r>
    </w:p>
    <w:p w14:paraId="5AC2AE90" w14:textId="3544424D"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chuyển nhượng lần đầu kết quả giảm phát thải khí nhà kính, tín chỉ các</w:t>
      </w:r>
      <w:r w:rsidR="00E34F65"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bon của cá nhân được cấp, công nhận kết quả giảm phát thải khí nhà kính, tín chỉ các</w:t>
      </w:r>
      <w:r w:rsidR="00E34F65"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bon đó.</w:t>
      </w:r>
    </w:p>
    <w:p w14:paraId="79AFB88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Miễn thuế thu nhập cá nhân đối với thu nhập từ tiền lãi trái phiếu xanh.</w:t>
      </w:r>
    </w:p>
    <w:p w14:paraId="65471AA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Miễn thuế thu nhập cá nhân đối với thu nhập từ chuyển nhượng trái phiếu xanh lần đầu sau khi phát hành.</w:t>
      </w:r>
    </w:p>
    <w:p w14:paraId="73D6BCE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từ chuyển nhượng trái phiếu xanh được miễn thuế tại khoản này là khoản thu nhập cá nhân nhận được từ việc chuyển nhượng trái phiếu xanh mà cá nhân trực tiếp mua của tổ chức phát hành trái phiếu xanh.</w:t>
      </w:r>
    </w:p>
    <w:p w14:paraId="1019DF4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35. Thu nhập từ tiền lương, tiền công từ thực hiện nhiệm vụ khoa học, công nghệ và đổi mới sáng tạo</w:t>
      </w:r>
    </w:p>
    <w:p w14:paraId="4B96ABD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tiền lương, tiền công từ thực hiện nhiệm vụ khoa học, công nghệ và đổi mới sáng tạo.</w:t>
      </w:r>
    </w:p>
    <w:p w14:paraId="6E4B07C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của cá nhân từ tiền lương, tiền công thực hiện nhiệm vụ khoa học, công nghệ và đổi mới sáng tạo được miễn thuế xác định như sau:</w:t>
      </w:r>
    </w:p>
    <w:p w14:paraId="4F776C9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Đối với nhiệm vụ khoa học, công nghệ và đổi mới sáng tạo sử dụng ngân sách nhà nước:</w:t>
      </w:r>
    </w:p>
    <w:p w14:paraId="338D8EFC" w14:textId="0F9465F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Tiền lương, tiền công của cá nhân thực hiện nhiệm vụ khoa học, công nghệ và đổi mới sáng tạo sử dụng ngân sách nhà nước là khoản tiền thù lao tham gia nhiệm vụ khoa học, công nghệ và đổi mới sáng tạo quy định tại điểm a khoản 1 Điều 6 của Nghị định số </w:t>
      </w:r>
      <w:hyperlink r:id="rId15" w:history="1">
        <w:r>
          <w:rPr>
            <w:rStyle w:val="Hyperlink"/>
            <w:rFonts w:ascii="Times New Roman" w:hAnsi="Times New Roman" w:cs="Times New Roman"/>
          </w:rPr>
          <w:t>265/2025/NĐ-CP</w:t>
        </w:r>
      </w:hyperlink>
      <w:r w:rsidRPr="00322B1D">
        <w:rPr>
          <w:rFonts w:ascii="Times New Roman" w:hAnsi="Times New Roman" w:cs="Times New Roman"/>
          <w:color w:val="000000" w:themeColor="text1"/>
        </w:rPr>
        <w:t xml:space="preserve"> quy định chi tiết và hướng dẫn thi hành một số điều của Luật Khoa học, công nghệ và đổi mới sáng tạo về tài chính và đầu tư trong khoa học, công nghệ và đổi mới sáng tạo.</w:t>
      </w:r>
    </w:p>
    <w:p w14:paraId="58B320E1" w14:textId="0AED073F"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Khoản thù lao tham gia nhiệm vụ khoa học, công nghệ và đổi mới sáng tạo của các cá nhân được xác định trên cơ sở nhiệm vụ khoa học, công nghệ và đổi mới sáng tạo sử dụng ngân sách nhà nước được cấp có thẩm quyền phê duyệt theo quy định tại Nghị định số </w:t>
      </w:r>
      <w:hyperlink r:id="rId16" w:history="1">
        <w:r>
          <w:rPr>
            <w:rStyle w:val="Hyperlink"/>
            <w:rFonts w:ascii="Times New Roman" w:hAnsi="Times New Roman" w:cs="Times New Roman"/>
          </w:rPr>
          <w:t>267/2025/NĐ-CP</w:t>
        </w:r>
      </w:hyperlink>
      <w:r w:rsidRPr="00322B1D">
        <w:rPr>
          <w:rFonts w:ascii="Times New Roman" w:hAnsi="Times New Roman" w:cs="Times New Roman"/>
          <w:color w:val="000000" w:themeColor="text1"/>
        </w:rPr>
        <w:t xml:space="preserve">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 Nghị định số </w:t>
      </w:r>
      <w:hyperlink r:id="rId17" w:history="1">
        <w:r>
          <w:rPr>
            <w:rStyle w:val="Hyperlink"/>
            <w:rFonts w:ascii="Times New Roman" w:hAnsi="Times New Roman" w:cs="Times New Roman"/>
          </w:rPr>
          <w:t>268/2025/NĐ-CP</w:t>
        </w:r>
      </w:hyperlink>
      <w:r w:rsidRPr="00322B1D">
        <w:rPr>
          <w:rFonts w:ascii="Times New Roman" w:hAnsi="Times New Roman" w:cs="Times New Roman"/>
          <w:color w:val="000000" w:themeColor="text1"/>
        </w:rPr>
        <w:t xml:space="preserve">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6B012E9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Đối với nhiệm vụ khoa học, công nghệ và đổi mới sáng tạo không sử dụng ngân sách nhà nước:</w:t>
      </w:r>
    </w:p>
    <w:p w14:paraId="2764D19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Nhiệm vụ khoa học, công nghệ và đổi mới sáng tạo không sử dụng ngân sách nhà nước là nhiệm vụ khoa học, công nghệ và đổi mới sáng tạo theo pháp luật về khoa học, công nghệ và đổi mới sáng tạo, được doanh nghiệp phê duyệt, triển khai bằng nguồn kinh phí hợp pháp của doanh nghiệp hoặc nguồn kinh phí hợp pháp của đơn vị phối hợp, không sử dụng kinh phí từ nguồn ngân sách nhà nước.</w:t>
      </w:r>
    </w:p>
    <w:p w14:paraId="61CA329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Việc xác định tiền lương, tiền công của cá nhân tham gia thực hiện nhiệm vụ khoa học, công nghệ và đổi mới sáng tạo không sử dụng ngân sách nhà nước thực hiện theo quy định về khoản chi của doanh nghiệp tài trợ cho chuyên gia, nhà khoa học, cá nhân thực hiện nhiệm vụ nghiên cứu </w:t>
      </w:r>
      <w:r w:rsidRPr="00322B1D">
        <w:rPr>
          <w:rFonts w:ascii="Times New Roman" w:hAnsi="Times New Roman" w:cs="Times New Roman"/>
          <w:color w:val="000000" w:themeColor="text1"/>
        </w:rPr>
        <w:lastRenderedPageBreak/>
        <w:t>khoa học, phát triển công nghệ và đổi mới sáng tạo quy định tại khoản 1 Điều 15 của Nghị định số 265/2025/NĐ-CP hoặc thực hiện theo quy định về khoản chi tiền lương, tiền công của doanh nghiệp cho nhân công trực tiếp tham gia thực hiện hoạt động nghiên cứu khoa học, phát triển công nghệ và đổi mới sáng tạo quy định tại khoản 2 Điều 15 của Nghị định số 265/2025/NĐ-CP.</w:t>
      </w:r>
    </w:p>
    <w:p w14:paraId="25040B2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Doanh nghiệp có trách nhiệm xây dựng và ban hành quy trình nội bộ quy định việc quản lý các nhiệm vụ khoa học, công nghệ và đổi mới sáng tạo thuộc phạm vi quản lý. Chịu trách nhiệm về sự phù hợp của các hoạt động nghiên cứu khoa học, phát triển công nghệ và đổi mới sáng tạo trong nhiệm vụ do mình phê duyệt với các quy định về nghiên cứu khoa học, phát triển công nghệ và đổi mới sáng tạo quy định tại pháp luật về khoa học, công nghệ và đổi mới sáng tạo.</w:t>
      </w:r>
    </w:p>
    <w:p w14:paraId="272B818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Hồ sơ xác định điều kiện để được miễn thuế thu nhập cá nhân đối với thu nhập từ tiền lương, tiền công từ thực hiện nhiệm vụ khoa học, công nghệ và đổi mới sáng tạo không sử dụng ngân sách nhà nước, bao gồm: Quyết định phê duyệt hoặc thuyết minh nhiệm vụ khoa học, công nghệ và đổi mới sáng tạo được phê duyệt; hợp đồng thuê nghiên cứu khoa học, phát triển công nghệ, đổi mới sáng tạo; biên bản bàn giao, nghiệm thu sản phẩm, thanh lý hợp đồng kèm theo các tài liệu, hóa đơn, chứng từ có liên quan (nếu có). Hồ sơ này được lưu tại tổ chức, doanh nghiệp trả thu nhập và xuất trình khi có yêu cầu của cơ quan thuế.</w:t>
      </w:r>
    </w:p>
    <w:p w14:paraId="4B15B72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36. Thu nhập từ quyền tác giả của nhiệm vụ khoa học, công nghệ và đổi mới sáng tạo</w:t>
      </w:r>
    </w:p>
    <w:p w14:paraId="1B20C84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quyền tác giả của nhiệm vụ khoa học, công nghệ và đổi mới sáng tạo khi kết quả nhiệm vụ được thương mại hóa theo quy định của pháp luật về khoa học, công nghệ và đổi mới sáng tạo, pháp luật về sở hữu trí tuệ.</w:t>
      </w:r>
    </w:p>
    <w:p w14:paraId="53AF6B6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Việc xác định thương mại hóa kết quả nghiên cứu khoa học, phát triển công nghệ và đổi mới sáng tạo theo quy định tại Điều 27 của Luật Khoa học, công nghệ và đổi mới sáng tạo.</w:t>
      </w:r>
    </w:p>
    <w:p w14:paraId="0BB96AE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37. Thu nhập của nhà đầu tư cá nhân, chuyên gia từ dự án khởi nghiệp sáng tạo, sáng lập viên cho doanh nghiệp khởi nghiệp sáng tạo, nhà đầu tư cá nhân góp vốn vào quỹ đầu tư mạo hiểm</w:t>
      </w:r>
    </w:p>
    <w:p w14:paraId="6346D0C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đầu tư vốn của nhà đầu tư cá nhân nhận được từ dự án khởi nghiệp sáng tạo, sáng lập viên doanh nghiệp khởi nghiệp sáng tạo, nhà đầu tư cá nhân góp vốn vào quỹ đầu tư mạo hiểm.</w:t>
      </w:r>
    </w:p>
    <w:p w14:paraId="2EC3FFE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Miễn thuế thu nhập cá nhân đối với thu nhập từ tiền lương, tiền công của chuyên gia hỗ trợ khởi nghiệp sáng tạo từ dự án khởi nghiệp sáng tạo, doanh nghiệp khởi nghiệp sáng tạo.</w:t>
      </w:r>
    </w:p>
    <w:p w14:paraId="303C9E0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Việc xác định dự án khởi nghiệp sáng tạo, doanh nghiệp khởi nghiệp sáng tạo, chuyên gia hỗ trợ khởi nghiệp sáng tạo, nhà đầu tư cá nhân khởi nghiệp sáng tạo, cá nhân, nhóm cá nhân khởi nghiệp sáng tạo là sáng lập viên doanh nghiệp khởi nghiệp sáng tạo được thực hiện theo quy định của pháp luật về khoa học, công nghệ và đổi mới sáng tạo; việc xác định quỹ đầu tư mạo hiểm, quỹ đầu tư khởi nghiệp sáng tạo theo quy định của pháp luật về khoa học, công nghệ và đổi mới sáng tạo và pháp luật về hỗ trợ doanh nghiệp nhỏ và vừa.</w:t>
      </w:r>
    </w:p>
    <w:p w14:paraId="20864D7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38. Thu nhập từ tiền lương, tiền công của chuyên gia nước ngoài làm việc tại chương trình, dự án tài trợ bằng nguồn vốn ODA không hoàn lại, chương trình, dự án phi chính phủ nước ngoài tại Việt Nam; cá nhân là người Việt Nam làm việc tại cơ quan đại diện của tổ chức quốc tế thuộc Hệ thống Liên hợp quốc tại Việt Nam; cá nhân tham gia lực lượng gìn giữ hòa bình của Liên hợp quốc</w:t>
      </w:r>
    </w:p>
    <w:p w14:paraId="5B57153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tiền lương, tiền công của chuyên gia nước ngoài làm việc tại chương trình, dự án tài trợ bằng nguồn vốn ODA không hoàn lại là người không có quốc tịch Việt Nam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ODA không hoàn lại theo quy định hay thỏa thuận trong các điều ước quốc tế về ODA không hoàn lại đã ký kết giữa cơ quan có thẩm quyền của Bên Việt Nam và Bên nước ngoài.</w:t>
      </w:r>
    </w:p>
    <w:p w14:paraId="36D6AFC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Cá nhân được miễn thuế theo khoản này áp dụng đối với các trường hợp sau:</w:t>
      </w:r>
    </w:p>
    <w:p w14:paraId="652277B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Bên nước ngoài tuyển chọn và ký hợp đồng với chuyên gia hoặc nhà thầu (công ty) mà chuyên gia thuộc danh sách tư vấn trong tài liệu đấu thầu của nhà thầu (công ty) trên cơ sở kết quả đấu thầu được cấp có thẩm quyền của Bên nước ngoài phê duyệt và phía Việt Nam chấp nhận;</w:t>
      </w:r>
    </w:p>
    <w:p w14:paraId="76570B6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Bên Việt Nam tuyển chọn và ký hợp đồng với chuyên gia hoặc nhà thầu (công ty) mà chuyên gia thuộc danh sách tư vấn trong tài liệu đấu thầu của nhà thầu (công ty) trên cơ sở kết quả đấu thầu được cấp có thẩm quyền của Bên Việt Nam phê duyệt và phía nước ngoài chấp thuận.</w:t>
      </w:r>
    </w:p>
    <w:p w14:paraId="045C840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Miễn thuế thu nhập cá nhân đối với thu nhập từ tiền lương, tiền công của chuyên gia nước ngoài làm việc tại chương trình, dự án, phi dự án tiếp nhận nguồn vốn viện trợ không thuộc hỗ trợ phát triển chính thức, viện trợ quốc tế khẩn cấp để cứu trợ và khắc phục hậu quả thiên tai (bao gồm viện trợ từ các tổ chức phi chính phủ nước ngoài) tại Việt Nam là người không có quốc tịch Việt Nam để trực tiếp thực hiện các hoạt động của chương trình, dự án, phi dự án trên cơ sở thống nhất giữa nhà tài trợ nước ngoài và cơ quan chủ quản dự án hoặc chủ dự án của Việt Nam quy định tại văn kiện chương trình, dự án, phi dự án đã được phê duyệt theo quy định của pháp luật về tiếp nhận, quản lý và sử dụng viện trợ của nước ngoài cho Việt Nam.</w:t>
      </w:r>
    </w:p>
    <w:p w14:paraId="6C41905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Cá nhân được miễn thuế theo khoản này áp dụng đối với các trường hợp sau:</w:t>
      </w:r>
    </w:p>
    <w:p w14:paraId="2A4BB30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Tổ chức phi chính phủ nước ngoài tuyển chọn và ký hợp đồng với chuyên gia nước ngoài theo điều khoản giao việc (TOR) cho chuyên gia nước ngoài đính kèm hợp đồng;</w:t>
      </w:r>
    </w:p>
    <w:p w14:paraId="3520B1F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Cơ quan chủ quản dự án hoặc chủ chương trình/dự án/phi dự án không thuộc hỗ trợ phát triển chính thức, viện trợ quốc tế khẩn cấp để cứu trợ và khắc phục hậu quả thiên tai (bao gồm viện trợ từ các tổ chức phi chính phủ nước ngoài) tuyển chọn và ký hợp đồng với chuyên gia nước ngoài theo điều khoản giao việc (TOR) cho chuyên gia nước ngoài đính kèm hợp đồng.</w:t>
      </w:r>
    </w:p>
    <w:p w14:paraId="425946E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Miễn thuế thu nhập cá nhân đối với thu nhập từ tiền lương, tiền công của cá nhân người Việt Nam làm việc tại cơ quan đại diện của tổ chức quốc tế thuộc Hệ thống Liên hợp quốc tại Việt Nam là người có quốc tịch Việt Nam được tuyển dụng theo hợp đồng để làm việc tại cơ quan đại diện của tổ chức quốc tế thuộc hệ thống Liên hợp quốc tại Việt Nam, không bao gồm cá nhân là người Việt Nam được tuyển dụng và làm việc theo giờ.</w:t>
      </w:r>
    </w:p>
    <w:p w14:paraId="7602A9E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Miễn thuế thu nhập cá nhân đối với thu nhập từ tiền lương, tiền công của cá nhân có quyết định của cấp có thẩm quyền cử đi tham gia lực lượng gìn giữ hòa bình của Liên hợp quốc trong thời gian làm nhiệm vụ theo quy định của pháp luật.</w:t>
      </w:r>
    </w:p>
    <w:p w14:paraId="5F3D829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Hồ sơ, thủ tục miễn thuế quy định tại các khoản 1, 2 và 3 Điều này thực hiện theo pháp luật về quản lý thuế.</w:t>
      </w:r>
    </w:p>
    <w:p w14:paraId="55C711F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39. Thu nhập của chủ doanh nghiệp tư nhân, cá nhân là chủ công ty trách nhiệm hữu hạn một thành viên</w:t>
      </w:r>
    </w:p>
    <w:p w14:paraId="51087B3B" w14:textId="77777777" w:rsidR="009166B8" w:rsidRPr="00322B1D" w:rsidRDefault="00A04B29" w:rsidP="001C36A2">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Miễn thuế thu nhập cá nhân đối với thu nhập của chủ doanh nghiệp tư nhân, cá nhân là chủ công ty trách nhiệm hữu hạn một thành viên thành lập theo pháp luật Việt Nam nhận được sau khi doanh nghiệp đã hoàn thành nghĩa vụ thuế thu nhập doanh nghiệp.</w:t>
      </w:r>
    </w:p>
    <w:p w14:paraId="25103913"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4D6C6C1C" w14:textId="77777777"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Mục 2</w:t>
      </w:r>
    </w:p>
    <w:p w14:paraId="537C5AAB" w14:textId="77777777"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CÁC TRƯỜNG HỢP MIỄN THUẾ, GIẢM THUẾ KHÁC</w:t>
      </w:r>
    </w:p>
    <w:p w14:paraId="5CE46F2C"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64AF2C8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40. Giảm thuế do thiên tai, dịch bệnh, hỏa hoạn, tai nạn, bệnh hiểm nghèo</w:t>
      </w:r>
    </w:p>
    <w:p w14:paraId="2F4D4D0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Người nộp thuế gặp khó khăn bị do thiên tai, dịch bệnh, hỏa hoạn, tai nạn, bệnh hiểm nghèo ảnh hưởng đến khả năng nộp thuế thì được xét giảm thuế tương ứng với mức độ thiệt hại nhưng không vượt quá số thuế thu nhập cá nhân phải nộp.</w:t>
      </w:r>
    </w:p>
    <w:p w14:paraId="438FFE2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Việc xác định bệnh hiểm nghèo theo quy định của Bộ trưởng Bộ Y tế.</w:t>
      </w:r>
    </w:p>
    <w:p w14:paraId="0615C90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2. Việc xét giảm thuế được thực hiện theo năm. Người nộp thuế gặp khó khăn do thiên tai, dịch bệnh, hỏa hoạn, tai nạn, bệnh hiểm nghèo trong năm nào thì được xét giảm số thuế phải nộp của năm đó.</w:t>
      </w:r>
    </w:p>
    <w:p w14:paraId="0CCDE77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Số thuế phải nộp làm căn cứ xét giảm thuế là tổng số thuế thu nhập cá nhân mà người nộp thuế phải nộp trong năm tính thuế, bao gồm:</w:t>
      </w:r>
    </w:p>
    <w:p w14:paraId="523666F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Thuế thu nhập cá nhân phải nộp theo kỳ tính thuế đối với thu nhập từ kinh doanh và thu nhập từ tiền lương, tiền công của cá nhân;</w:t>
      </w:r>
    </w:p>
    <w:p w14:paraId="0C1A348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Thuế thu nhập cá nhân đã nộp hoặc đã khấu trừ đối với thu nhập từ đầu tư vốn, thu nhập từ chuyển nhượng vốn, thu nhập từ chuyển nhượng bất động sản, thu nhập từ trúng thưởng, thu nhập từ bản quyền, thu nhập từ nhượng quyền thương mại, thu nhập từ thừa kế, thu nhập từ quà tặng, thu nhập khác.</w:t>
      </w:r>
    </w:p>
    <w:p w14:paraId="645D19F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Căn cứ để xác định mức độ thiệt hại được giảm thuế là tổng chi phí thực tế để khắc phục thiệt hại, để chi trả chi phí khám bệnh, chữa bệnh trừ (-) đi các khoản bồi thường, bảo hiểm nhận được từ tổ chức bảo hiểm (nếu có) hoặc từ tổ chức, cá nhân gây ra thiệt hại (nếu có).</w:t>
      </w:r>
    </w:p>
    <w:p w14:paraId="62BA288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Số thuế giảm được xác định như sau:</w:t>
      </w:r>
    </w:p>
    <w:p w14:paraId="1AB13F9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Trường hợp số thuế phải nộp trong năm lớn hơn mức độ thiệt hại thì số thuế giảm bằng mức độ thiệt hại;</w:t>
      </w:r>
    </w:p>
    <w:p w14:paraId="1CE19CC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Trường hợp số thuế phải nộp trong năm nhỏ hơn mức độ thiệt hại thì số thuế giảm bằng số thuế phải nộp.</w:t>
      </w:r>
    </w:p>
    <w:p w14:paraId="16489A7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6. Hồ sơ, thủ tục xét giảm thuế tại Điều này thực hiện theo pháp luật về quản lý thuế.</w:t>
      </w:r>
    </w:p>
    <w:p w14:paraId="7A59CF9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41. Miễn thuế đối với cá nhân là nhân lực công nghiệp công nghệ số chất lượng cao</w:t>
      </w:r>
    </w:p>
    <w:p w14:paraId="627CEAC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trong thời hạn 05 năm đối với thu nhập từ tiền lương, tiền công của cá nhân là nhân lực công nghiệp công nghệ số chất lượng cao trong các trường hợp sau:</w:t>
      </w:r>
    </w:p>
    <w:p w14:paraId="6D48C7D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Thu nhập từ dự án hoạt động công nghiệp công nghệ số trong khu công nghệ số tập trung;</w:t>
      </w:r>
    </w:p>
    <w:p w14:paraId="1C2839C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Thu nhập từ dự án nghiên cứu và phát triển, sản xuất sản phẩm công nghệ số trọng điểm, chip bán dẫn, hệ thống trí tuệ nhân tạo;</w:t>
      </w:r>
    </w:p>
    <w:p w14:paraId="4E3CA49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Thu nhập từ các hoạt động đào tạo nhân lực công nghiệp công nghệ số.</w:t>
      </w:r>
    </w:p>
    <w:p w14:paraId="0783EC6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Việc xác định nhân lực công nghiệp công nghệ số chất lượng cao làm căn cứ miễn thuế tại khoản 1 Điều này thực hiện theo quy định của pháp luật về công nghiệp công nghệ số và pháp luật có liên quan.</w:t>
      </w:r>
    </w:p>
    <w:p w14:paraId="6B1135A9" w14:textId="5F1E3DD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a) Việc xác định nhân lực công nghiệp công nghệ số chất lượng cao thực hiện theo quy định tại các Điều 5, 6, 7, 8, 9 và 10 của Nghị định số </w:t>
      </w:r>
      <w:hyperlink r:id="rId18" w:history="1">
        <w:r>
          <w:rPr>
            <w:rStyle w:val="Hyperlink"/>
            <w:rFonts w:ascii="Times New Roman" w:hAnsi="Times New Roman" w:cs="Times New Roman"/>
          </w:rPr>
          <w:t>353/2025/NĐ-CP</w:t>
        </w:r>
      </w:hyperlink>
      <w:r w:rsidRPr="00322B1D">
        <w:rPr>
          <w:rFonts w:ascii="Times New Roman" w:hAnsi="Times New Roman" w:cs="Times New Roman"/>
          <w:color w:val="000000" w:themeColor="text1"/>
        </w:rPr>
        <w:t xml:space="preserve"> quy định chi tiết một số điều và biện pháp để tổ chức, hướng dẫn thi hành Luật Công nghiệp công nghệ số và quy định của pháp luật về công nghiệp công nghệ số;</w:t>
      </w:r>
    </w:p>
    <w:p w14:paraId="0E44731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Việc xác định hoạt động công nghiệp công nghệ số thực hiện theo Điều 13 của Luật Công nghiệp công nghệ số và Điều 4 của Nghị định số 353/2025/NĐ-CP.</w:t>
      </w:r>
    </w:p>
    <w:p w14:paraId="73009D0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Thời gian miễn thuế tính liên tục kể từ tháng phát sinh thu nhập được miễn thuế. Trường hợp phát sinh thu nhập trong tháng thì thời gian tính miễn thuế được tính đủ tháng.</w:t>
      </w:r>
    </w:p>
    <w:p w14:paraId="799648E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Trường hợp cá nhân vừa có thu nhập từ tiền lương, tiền công được miễn thuế theo quy định tại khoản 1 Điều này, vừa có thu nhập từ tiền lương, tiền công khác thì số thuế thu nhập cá nhân được miễn được xác định như sau:</w:t>
      </w:r>
    </w:p>
    <w:tbl>
      <w:tblPr>
        <w:tblW w:w="5000" w:type="pct"/>
        <w:tblCellMar>
          <w:left w:w="10" w:type="dxa"/>
          <w:right w:w="10" w:type="dxa"/>
        </w:tblCellMar>
        <w:tblLook w:val="07E0" w:firstRow="1" w:lastRow="1" w:firstColumn="1" w:lastColumn="1" w:noHBand="1" w:noVBand="1"/>
      </w:tblPr>
      <w:tblGrid>
        <w:gridCol w:w="1523"/>
        <w:gridCol w:w="454"/>
        <w:gridCol w:w="3330"/>
        <w:gridCol w:w="454"/>
        <w:gridCol w:w="3896"/>
      </w:tblGrid>
      <w:tr w:rsidR="001C36A2" w:rsidRPr="00322B1D" w14:paraId="3274E464" w14:textId="77777777" w:rsidTr="007D5FDE">
        <w:trPr>
          <w:trHeight w:val="20"/>
        </w:trPr>
        <w:tc>
          <w:tcPr>
            <w:tcW w:w="789" w:type="pct"/>
            <w:vMerge w:val="restart"/>
            <w:vAlign w:val="center"/>
          </w:tcPr>
          <w:p w14:paraId="74626071" w14:textId="1B3F2C48"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thuế</w:t>
            </w:r>
            <w:r w:rsidRPr="00322B1D">
              <w:rPr>
                <w:rFonts w:ascii="Times New Roman" w:hAnsi="Times New Roman" w:cs="Times New Roman"/>
                <w:color w:val="000000" w:themeColor="text1"/>
              </w:rPr>
              <w:br/>
              <w:t>được miễn</w:t>
            </w:r>
            <w:r w:rsidRPr="00322B1D">
              <w:rPr>
                <w:rFonts w:ascii="Times New Roman" w:hAnsi="Times New Roman" w:cs="Times New Roman"/>
                <w:color w:val="000000" w:themeColor="text1"/>
              </w:rPr>
              <w:br/>
              <w:t>trong kỳ</w:t>
            </w:r>
            <w:r w:rsidRPr="00322B1D">
              <w:rPr>
                <w:rFonts w:ascii="Times New Roman" w:hAnsi="Times New Roman" w:cs="Times New Roman"/>
                <w:color w:val="000000" w:themeColor="text1"/>
              </w:rPr>
              <w:br/>
              <w:t>tính thuế</w:t>
            </w:r>
          </w:p>
        </w:tc>
        <w:tc>
          <w:tcPr>
            <w:tcW w:w="235" w:type="pct"/>
            <w:vMerge w:val="restart"/>
            <w:vAlign w:val="center"/>
          </w:tcPr>
          <w:p w14:paraId="7D1ABA45" w14:textId="619292E2"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1724" w:type="pct"/>
            <w:vMerge w:val="restart"/>
            <w:vAlign w:val="center"/>
          </w:tcPr>
          <w:p w14:paraId="5EE1D48A" w14:textId="4F19C1F1"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thuế thu nhập cá nhân</w:t>
            </w:r>
            <w:r w:rsidRPr="00322B1D">
              <w:rPr>
                <w:rFonts w:ascii="Times New Roman" w:hAnsi="Times New Roman" w:cs="Times New Roman"/>
                <w:color w:val="000000" w:themeColor="text1"/>
              </w:rPr>
              <w:br/>
              <w:t>tính trên tổng thu nhập tính</w:t>
            </w:r>
            <w:r w:rsidRPr="00322B1D">
              <w:rPr>
                <w:rFonts w:ascii="Times New Roman" w:hAnsi="Times New Roman" w:cs="Times New Roman"/>
                <w:color w:val="000000" w:themeColor="text1"/>
              </w:rPr>
              <w:br/>
              <w:t>thuế từ tiền lương, tiền công</w:t>
            </w:r>
            <w:r w:rsidRPr="00322B1D">
              <w:rPr>
                <w:rFonts w:ascii="Times New Roman" w:hAnsi="Times New Roman" w:cs="Times New Roman"/>
                <w:color w:val="000000" w:themeColor="text1"/>
              </w:rPr>
              <w:br/>
              <w:t>trong kỳ tính thuế</w:t>
            </w:r>
          </w:p>
        </w:tc>
        <w:tc>
          <w:tcPr>
            <w:tcW w:w="235" w:type="pct"/>
            <w:vMerge w:val="restart"/>
            <w:vAlign w:val="center"/>
          </w:tcPr>
          <w:p w14:paraId="18A38A07" w14:textId="617248F0"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x</w:t>
            </w:r>
            <w:r w:rsidRPr="00322B1D">
              <w:rPr>
                <w:rFonts w:ascii="Times New Roman" w:hAnsi="Times New Roman" w:cs="Times New Roman"/>
                <w:color w:val="000000" w:themeColor="text1"/>
              </w:rPr>
              <w:br/>
            </w:r>
          </w:p>
        </w:tc>
        <w:tc>
          <w:tcPr>
            <w:tcW w:w="2017" w:type="pct"/>
            <w:tcBorders>
              <w:bottom w:val="single" w:sz="4" w:space="0" w:color="auto"/>
            </w:tcBorders>
            <w:vAlign w:val="center"/>
          </w:tcPr>
          <w:p w14:paraId="4B345A31" w14:textId="72963E95"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Thu nhập được miễn thuế</w:t>
            </w:r>
            <w:r w:rsidRPr="00322B1D">
              <w:rPr>
                <w:rFonts w:ascii="Times New Roman" w:hAnsi="Times New Roman" w:cs="Times New Roman"/>
                <w:color w:val="000000" w:themeColor="text1"/>
              </w:rPr>
              <w:br/>
              <w:t>từ tiền lương, tiền công tại</w:t>
            </w:r>
            <w:r w:rsidRPr="00322B1D">
              <w:rPr>
                <w:rFonts w:ascii="Times New Roman" w:hAnsi="Times New Roman" w:cs="Times New Roman"/>
                <w:color w:val="000000" w:themeColor="text1"/>
              </w:rPr>
              <w:br/>
              <w:t>khoản 1 Điều này</w:t>
            </w:r>
          </w:p>
        </w:tc>
      </w:tr>
      <w:tr w:rsidR="001C36A2" w:rsidRPr="00322B1D" w14:paraId="3D45488B" w14:textId="77777777" w:rsidTr="007D5FDE">
        <w:trPr>
          <w:trHeight w:val="20"/>
        </w:trPr>
        <w:tc>
          <w:tcPr>
            <w:tcW w:w="789" w:type="pct"/>
            <w:vMerge/>
            <w:vAlign w:val="center"/>
          </w:tcPr>
          <w:p w14:paraId="496A9AF5" w14:textId="5E7A26EF"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p>
        </w:tc>
        <w:tc>
          <w:tcPr>
            <w:tcW w:w="235" w:type="pct"/>
            <w:vMerge/>
            <w:vAlign w:val="center"/>
          </w:tcPr>
          <w:p w14:paraId="19C77F8C" w14:textId="5E9BDA8D"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p>
        </w:tc>
        <w:tc>
          <w:tcPr>
            <w:tcW w:w="1724" w:type="pct"/>
            <w:vMerge/>
            <w:vAlign w:val="center"/>
          </w:tcPr>
          <w:p w14:paraId="1574EFD5" w14:textId="19AD62E4"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p>
        </w:tc>
        <w:tc>
          <w:tcPr>
            <w:tcW w:w="235" w:type="pct"/>
            <w:vMerge/>
            <w:vAlign w:val="center"/>
          </w:tcPr>
          <w:p w14:paraId="42218D47" w14:textId="4DFF5303"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p>
        </w:tc>
        <w:tc>
          <w:tcPr>
            <w:tcW w:w="2017" w:type="pct"/>
            <w:tcBorders>
              <w:top w:val="single" w:sz="4" w:space="0" w:color="auto"/>
            </w:tcBorders>
            <w:vAlign w:val="center"/>
          </w:tcPr>
          <w:p w14:paraId="14633718" w14:textId="37A10050"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Tổng thu nhập chịu thuế</w:t>
            </w:r>
            <w:r w:rsidRPr="00322B1D">
              <w:rPr>
                <w:rFonts w:ascii="Times New Roman" w:hAnsi="Times New Roman" w:cs="Times New Roman"/>
                <w:color w:val="000000" w:themeColor="text1"/>
              </w:rPr>
              <w:br/>
            </w:r>
            <w:r w:rsidRPr="00322B1D">
              <w:rPr>
                <w:rFonts w:ascii="Times New Roman" w:hAnsi="Times New Roman" w:cs="Times New Roman"/>
                <w:color w:val="000000" w:themeColor="text1"/>
              </w:rPr>
              <w:lastRenderedPageBreak/>
              <w:t>từ tiền lương, tiền công</w:t>
            </w:r>
            <w:r w:rsidRPr="00322B1D">
              <w:rPr>
                <w:rFonts w:ascii="Times New Roman" w:hAnsi="Times New Roman" w:cs="Times New Roman"/>
                <w:color w:val="000000" w:themeColor="text1"/>
              </w:rPr>
              <w:br/>
              <w:t>trong kỳ tính thuế</w:t>
            </w:r>
          </w:p>
        </w:tc>
      </w:tr>
    </w:tbl>
    <w:p w14:paraId="25FCD88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5. Việc khấu trừ thuế, quyết toán thuế theo quy định tại Điều 50 và Điều 51 của Nghị định này.</w:t>
      </w:r>
    </w:p>
    <w:p w14:paraId="700ACF2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42. Miễn thuế đối với cá nhân là nhân lực công nghệ cao</w:t>
      </w:r>
    </w:p>
    <w:p w14:paraId="69BA533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trong thời hạn 05 năm đối với thu nhập từ tiền lương, tiền công của cá nhân là nhân lực công nghệ cao trong các trường hợp sau:</w:t>
      </w:r>
    </w:p>
    <w:p w14:paraId="2C17B15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Thu nhập từ thực hiện hoạt động nghiên cứu và phát triển công nghệ cao thuộc Danh mục công nghệ cao được ưu tiên đầu tư phát triển, Danh mục sản phẩm công nghệ cao được khuyến khích phát triển theo quy định của pháp luật về công nghệ cao;</w:t>
      </w:r>
    </w:p>
    <w:p w14:paraId="23FA0A5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Thu nhập từ hoạt động nghiên cứu và phát triển công nghệ chiến lược thuộc Danh mục công nghệ chiến lược, Danh mục sản phẩm công nghệ chiến lược theo quy định của pháp luật về công nghệ cao.</w:t>
      </w:r>
    </w:p>
    <w:p w14:paraId="4A6BF2B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Việc xác định nhân lực công nghệ cao thực hiện hoạt động nghiên cứu và phát triển công nghệ cao hoặc công nghệ chiến lược thuộc Danh mục công nghệ cao được ưu tiên đầu tư phát triển hoặc Danh mục công nghệ chiến lược, Danh mục sản phẩm công nghệ chiến lược theo quy định của pháp luật về công nghệ cao. Một số trường hợp cụ thể như sau:</w:t>
      </w:r>
    </w:p>
    <w:p w14:paraId="2A4A3B8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Việc xác định nhân lực công nghệ cao theo quy định tại khoản 1 Điều này làm căn cứ thực hiện miễn thuế được thực hiện theo quy định tại Điều 13 Luật Công nghệ cao và các văn bản hướng dẫn thi hành;</w:t>
      </w:r>
    </w:p>
    <w:p w14:paraId="7CDA91F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Việc xác định hoạt động nghiên cứu và phát triển công nghệ cao hoặc công nghệ chiến lược thuộc Danh mục công nghệ cao được ưu tiên đầu tư phát triển, Danh mục sản phẩm công nghệ cao được khuyến khích phát triển; Danh mục công nghệ chiến lược, Danh mục sản phẩm công nghệ chiến lược được thực hiện theo quy định tại Điều 11 và Điều 12 của Luật Công nghệ cao và các văn bản hướng dẫn thi hành.</w:t>
      </w:r>
    </w:p>
    <w:p w14:paraId="681EAE7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Thời gian miễn thuế tính liên tục kể từ tháng phát sinh thu nhập được miễn thuế. Trường hợp phát sinh thu nhập trong tháng thì thời gian tính miễn thuế được tính đủ tháng.</w:t>
      </w:r>
    </w:p>
    <w:p w14:paraId="7C17B6E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Trường hợp cá nhân vừa có thu nhập từ tiền lương, tiền công được miễn thuế theo quy định tại khoản 1 Điều này, vừa có thu nhập từ tiền lương, tiền công khác thì số thuế thu nhập cá nhân được miễn được xác định như sau:</w:t>
      </w:r>
    </w:p>
    <w:tbl>
      <w:tblPr>
        <w:tblW w:w="5000" w:type="pct"/>
        <w:tblCellMar>
          <w:left w:w="10" w:type="dxa"/>
          <w:right w:w="10" w:type="dxa"/>
        </w:tblCellMar>
        <w:tblLook w:val="07E0" w:firstRow="1" w:lastRow="1" w:firstColumn="1" w:lastColumn="1" w:noHBand="1" w:noVBand="1"/>
      </w:tblPr>
      <w:tblGrid>
        <w:gridCol w:w="1548"/>
        <w:gridCol w:w="583"/>
        <w:gridCol w:w="3028"/>
        <w:gridCol w:w="452"/>
        <w:gridCol w:w="4046"/>
      </w:tblGrid>
      <w:tr w:rsidR="001C36A2" w:rsidRPr="00322B1D" w14:paraId="79CD0C6A" w14:textId="77777777" w:rsidTr="007D5FDE">
        <w:trPr>
          <w:trHeight w:val="20"/>
        </w:trPr>
        <w:tc>
          <w:tcPr>
            <w:tcW w:w="801" w:type="pct"/>
            <w:vMerge w:val="restart"/>
            <w:vAlign w:val="center"/>
          </w:tcPr>
          <w:p w14:paraId="51C728DF" w14:textId="5EADC6BC"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thuế</w:t>
            </w:r>
            <w:r w:rsidRPr="00322B1D">
              <w:rPr>
                <w:rFonts w:ascii="Times New Roman" w:hAnsi="Times New Roman" w:cs="Times New Roman"/>
                <w:color w:val="000000" w:themeColor="text1"/>
              </w:rPr>
              <w:br/>
              <w:t>được miễn</w:t>
            </w:r>
            <w:r w:rsidRPr="00322B1D">
              <w:rPr>
                <w:rFonts w:ascii="Times New Roman" w:hAnsi="Times New Roman" w:cs="Times New Roman"/>
                <w:color w:val="000000" w:themeColor="text1"/>
              </w:rPr>
              <w:br/>
              <w:t>trong kỳ</w:t>
            </w:r>
            <w:r w:rsidRPr="00322B1D">
              <w:rPr>
                <w:rFonts w:ascii="Times New Roman" w:hAnsi="Times New Roman" w:cs="Times New Roman"/>
                <w:color w:val="000000" w:themeColor="text1"/>
              </w:rPr>
              <w:br/>
              <w:t>tính thuế</w:t>
            </w:r>
          </w:p>
        </w:tc>
        <w:tc>
          <w:tcPr>
            <w:tcW w:w="302" w:type="pct"/>
            <w:vMerge w:val="restart"/>
            <w:vAlign w:val="center"/>
          </w:tcPr>
          <w:p w14:paraId="6077E0B5" w14:textId="4D48FC1C"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1568" w:type="pct"/>
            <w:vMerge w:val="restart"/>
            <w:vAlign w:val="center"/>
          </w:tcPr>
          <w:p w14:paraId="6A52F333" w14:textId="0D49524A"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thuế thu nhập cá nhân</w:t>
            </w:r>
            <w:r w:rsidRPr="00322B1D">
              <w:rPr>
                <w:rFonts w:ascii="Times New Roman" w:hAnsi="Times New Roman" w:cs="Times New Roman"/>
                <w:color w:val="000000" w:themeColor="text1"/>
              </w:rPr>
              <w:br/>
              <w:t>tính trên tổng thu nhập tính</w:t>
            </w:r>
            <w:r w:rsidRPr="00322B1D">
              <w:rPr>
                <w:rFonts w:ascii="Times New Roman" w:hAnsi="Times New Roman" w:cs="Times New Roman"/>
                <w:color w:val="000000" w:themeColor="text1"/>
              </w:rPr>
              <w:br/>
              <w:t>thuế từ tiền lương, tiền công</w:t>
            </w:r>
            <w:r w:rsidRPr="00322B1D">
              <w:rPr>
                <w:rFonts w:ascii="Times New Roman" w:hAnsi="Times New Roman" w:cs="Times New Roman"/>
                <w:color w:val="000000" w:themeColor="text1"/>
              </w:rPr>
              <w:br/>
              <w:t>trong kỳ tính thuế</w:t>
            </w:r>
          </w:p>
        </w:tc>
        <w:tc>
          <w:tcPr>
            <w:tcW w:w="234" w:type="pct"/>
            <w:vMerge w:val="restart"/>
            <w:vAlign w:val="center"/>
          </w:tcPr>
          <w:p w14:paraId="47D897C3" w14:textId="77777777"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x</w:t>
            </w:r>
          </w:p>
          <w:p w14:paraId="0B48C8D1" w14:textId="3A7CEC15"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p>
        </w:tc>
        <w:tc>
          <w:tcPr>
            <w:tcW w:w="2095" w:type="pct"/>
            <w:tcBorders>
              <w:bottom w:val="single" w:sz="4" w:space="0" w:color="auto"/>
            </w:tcBorders>
            <w:vAlign w:val="center"/>
          </w:tcPr>
          <w:p w14:paraId="14FAEFC5" w14:textId="38E01E78"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Thu nhập được miễn thuế</w:t>
            </w:r>
            <w:r w:rsidRPr="00322B1D">
              <w:rPr>
                <w:rFonts w:ascii="Times New Roman" w:hAnsi="Times New Roman" w:cs="Times New Roman"/>
                <w:color w:val="000000" w:themeColor="text1"/>
              </w:rPr>
              <w:br/>
              <w:t>từ tiền lương, tiền công tại</w:t>
            </w:r>
            <w:r w:rsidRPr="00322B1D">
              <w:rPr>
                <w:rFonts w:ascii="Times New Roman" w:hAnsi="Times New Roman" w:cs="Times New Roman"/>
                <w:color w:val="000000" w:themeColor="text1"/>
              </w:rPr>
              <w:br/>
              <w:t>khoản 1 Điều này</w:t>
            </w:r>
          </w:p>
        </w:tc>
      </w:tr>
      <w:tr w:rsidR="001C36A2" w:rsidRPr="00322B1D" w14:paraId="03E0DC7D" w14:textId="77777777" w:rsidTr="007D5FDE">
        <w:trPr>
          <w:trHeight w:val="20"/>
        </w:trPr>
        <w:tc>
          <w:tcPr>
            <w:tcW w:w="801" w:type="pct"/>
            <w:vMerge/>
            <w:vAlign w:val="center"/>
          </w:tcPr>
          <w:p w14:paraId="4A623305" w14:textId="57FA32A1"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p>
        </w:tc>
        <w:tc>
          <w:tcPr>
            <w:tcW w:w="302" w:type="pct"/>
            <w:vMerge/>
            <w:vAlign w:val="center"/>
          </w:tcPr>
          <w:p w14:paraId="344C320A" w14:textId="5145D505"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p>
        </w:tc>
        <w:tc>
          <w:tcPr>
            <w:tcW w:w="1568" w:type="pct"/>
            <w:vMerge/>
            <w:vAlign w:val="center"/>
          </w:tcPr>
          <w:p w14:paraId="6A2880B2" w14:textId="192D6A83"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p>
        </w:tc>
        <w:tc>
          <w:tcPr>
            <w:tcW w:w="234" w:type="pct"/>
            <w:vMerge/>
            <w:vAlign w:val="center"/>
          </w:tcPr>
          <w:p w14:paraId="2EDE2F6A" w14:textId="39994428"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p>
        </w:tc>
        <w:tc>
          <w:tcPr>
            <w:tcW w:w="2095" w:type="pct"/>
            <w:tcBorders>
              <w:top w:val="single" w:sz="4" w:space="0" w:color="auto"/>
            </w:tcBorders>
            <w:vAlign w:val="center"/>
          </w:tcPr>
          <w:p w14:paraId="26AE32D5" w14:textId="0A50C61E" w:rsidR="001C36A2" w:rsidRPr="00322B1D" w:rsidRDefault="001C36A2"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Tổng thu nhập chịu thuế</w:t>
            </w:r>
            <w:r w:rsidRPr="00322B1D">
              <w:rPr>
                <w:rFonts w:ascii="Times New Roman" w:hAnsi="Times New Roman" w:cs="Times New Roman"/>
                <w:color w:val="000000" w:themeColor="text1"/>
              </w:rPr>
              <w:br/>
              <w:t>từ tiền lương, tiền công</w:t>
            </w:r>
            <w:r w:rsidRPr="00322B1D">
              <w:rPr>
                <w:rFonts w:ascii="Times New Roman" w:hAnsi="Times New Roman" w:cs="Times New Roman"/>
                <w:color w:val="000000" w:themeColor="text1"/>
              </w:rPr>
              <w:br/>
              <w:t>trong kỳ tính thuế</w:t>
            </w:r>
          </w:p>
        </w:tc>
      </w:tr>
    </w:tbl>
    <w:p w14:paraId="6477695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Việc khấu trừ thuế, quyết toán thuế theo quy định tại Điều 50 và Điều 51 của Nghị định này.</w:t>
      </w:r>
    </w:p>
    <w:p w14:paraId="54114F2D" w14:textId="4842E942"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43. Miễn thuế đối với chuy</w:t>
      </w:r>
      <w:r w:rsidR="00FD7253" w:rsidRPr="00322B1D">
        <w:rPr>
          <w:rFonts w:ascii="Times New Roman" w:hAnsi="Times New Roman" w:cs="Times New Roman"/>
          <w:b/>
          <w:color w:val="000000" w:themeColor="text1"/>
        </w:rPr>
        <w:t>ể</w:t>
      </w:r>
      <w:r w:rsidRPr="00322B1D">
        <w:rPr>
          <w:rFonts w:ascii="Times New Roman" w:hAnsi="Times New Roman" w:cs="Times New Roman"/>
          <w:b/>
          <w:color w:val="000000" w:themeColor="text1"/>
        </w:rPr>
        <w:t>n nhượng chứng chỉ quỹ mở</w:t>
      </w:r>
    </w:p>
    <w:p w14:paraId="3717550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Miễn thuế thu nhập cá nhân đối với thu nhập từ chuyển nhượng chứng chỉ quỹ mở thành lập theo pháp luật chứng khoán và tại thời điểm bán chứng chỉ quỹ đó phải đảm bảo thời gian nắm giữ từ đủ 02 năm trở lên kể từ ngày mua.</w:t>
      </w:r>
    </w:p>
    <w:p w14:paraId="1524D12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Trường hợp cá nhân có chứng chỉ quỹ mở mua trước ngày 01 tháng 7 năm 2026 và thực hiện chuyển nhượng kể từ ngày 01 tháng 7 năm 2026 thì được miễn thuế thu nhập cá nhân khi cá nhân chuyển nhượng chứng chỉ quỹ đó nếu đã có thời gian nắm giữ chứng chỉ quỹ đó từ đủ 02 năm trở lên kể từ ngày mua.</w:t>
      </w:r>
    </w:p>
    <w:p w14:paraId="4079353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3. Trường hợp cá nhân chuyển nhượng chứng chỉ quỹ được mua tại các thời điểm khác nhau thì thời gian nắm giữ 2 năm quy định tại khoản 1 và khoản 2 Điều này của chứng chỉ quỹ đó được xác định theo nguyên tắc chứng chỉ quỹ nào mua trước thì được tính là bán trước.</w:t>
      </w:r>
    </w:p>
    <w:p w14:paraId="04FC3E1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44. Giảm thuế đối với lợi tức của nhà đầu tư được chia từ quỹ đầu tư chứng khoán, quỹ đầu tư bất động sản</w:t>
      </w:r>
    </w:p>
    <w:p w14:paraId="5BE73639" w14:textId="77777777" w:rsidR="009166B8" w:rsidRPr="00322B1D" w:rsidRDefault="00A04B29" w:rsidP="001C36A2">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từ lợi tức của nhà đầu tư cá nhân được chia từ quỹ đầu tư chứng khoán, quỹ đầu tư bất động sản thành lập theo Luật Chứng khoán được giảm 50% thuế thu nhập cá nhân trong 05 năm kể từ ngày 01 tháng 7 năm 2026 đến hết ngày 30 tháng 6 năm 2031.</w:t>
      </w:r>
    </w:p>
    <w:p w14:paraId="73B5D696"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50180D2F" w14:textId="77777777"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Chương IV</w:t>
      </w:r>
    </w:p>
    <w:p w14:paraId="45BEB42B" w14:textId="77777777"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CĂN CỨ TÍNH THUẾ ĐỐI VỚI THU NHẬP CỦA CÁ NHÂN CƯ TRÚ</w:t>
      </w:r>
    </w:p>
    <w:p w14:paraId="7ECA0C52"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4012A545" w14:textId="77777777"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 xml:space="preserve">Mục 1 </w:t>
      </w:r>
    </w:p>
    <w:p w14:paraId="265B2521" w14:textId="77777777"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THU NHẬP TỪ KINH DOANH</w:t>
      </w:r>
    </w:p>
    <w:p w14:paraId="5E8440C8"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11AC2D6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45. Thuế thu nhập cá nhân đối với thu nhập từ kinh doanh</w:t>
      </w:r>
    </w:p>
    <w:p w14:paraId="15563D55" w14:textId="746F6570"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1. Cá nhân cư trú có hoạt động sản xuất, kinh doanh thực hiện nộp thuế theo quy định tại Điều 7 của Luật Thuế thu nhập cá nhân, Nghị định số </w:t>
      </w:r>
      <w:hyperlink r:id="rId19" w:history="1">
        <w:r>
          <w:rPr>
            <w:rStyle w:val="Hyperlink"/>
            <w:rFonts w:ascii="Times New Roman" w:hAnsi="Times New Roman" w:cs="Times New Roman"/>
          </w:rPr>
          <w:t>68/2026/NĐ-CP</w:t>
        </w:r>
      </w:hyperlink>
      <w:r w:rsidRPr="00322B1D">
        <w:rPr>
          <w:rFonts w:ascii="Times New Roman" w:hAnsi="Times New Roman" w:cs="Times New Roman"/>
          <w:color w:val="000000" w:themeColor="text1"/>
        </w:rPr>
        <w:t xml:space="preserve"> quy định về chính sách thuế và quản lý thuế đối với hộ kinh doanh, cá nhân kinh doanh và các văn bản sửa đổi, bổ sung.</w:t>
      </w:r>
    </w:p>
    <w:p w14:paraId="287B9DDA" w14:textId="77777777" w:rsidR="009166B8" w:rsidRPr="00322B1D" w:rsidRDefault="00A04B29" w:rsidP="001C36A2">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Thuế suất tính trên doanh thu tính thuế quy định tại khoản 3 Điều 7 của Luật Thuế thu nhập cá nhân được quy định chi tiết theo danh mục ngành, nghề tại Phụ lục ban hành kèm theo Nghị định này.</w:t>
      </w:r>
    </w:p>
    <w:p w14:paraId="70B663DD"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296381F9" w14:textId="77777777"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Mục 2</w:t>
      </w:r>
    </w:p>
    <w:p w14:paraId="697DF5C3" w14:textId="77777777"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THU NHẬP TỪ TIỀN LƯƠNG, TIỀN CÔNG</w:t>
      </w:r>
    </w:p>
    <w:p w14:paraId="537D322A"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204A1E8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46. Thuế thu nhập cá nhân đối với thu nhập từ tiền lương, tiền công</w:t>
      </w:r>
    </w:p>
    <w:p w14:paraId="5682992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tiền lương, tiền công của cá nhân cư trú được xác định bằng thu nhập tính thuế quy định tại khoản 2 Điều này, không phân biệt nơi trả và nhận thu nhập, nhân (x) với thuế suất tại Biểu thuế lũy tiến từng phần quy định tại Điều 9 của Luật Thuế thu nhập cá nhân. Số thuế tính theo từng bậc thuế xác định bằng phần thu nhập tính thuế của bậc thuế nhân (x) với thuế suất tương ứng của bậc thuế đó.</w:t>
      </w:r>
    </w:p>
    <w:p w14:paraId="6B3970A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tính thuế đối với thu nhập từ tiền lương, tiền công là tổng thu nhập chịu thuế quy định tại Điều 8 của Nghị định này mà người nộp thuế nhận được trong kỳ tính thuế trừ (-) đi các khoản dưới đây:</w:t>
      </w:r>
    </w:p>
    <w:p w14:paraId="15A2FB6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Các khoản đóng góp bảo hiểm xã hội, bảo hiểm y tế, bảo hiểm thất nghiệp, bảo hiểm trách nhiệm nghề nghiệp đối với một số ngành, nghề phải tham gia bảo hiểm bắt buộc, khoản đóng góp bảo hiểm xã hội tự nguyện theo Luật Bảo hiểm xã hội, khoản đóng góp bảo hiểm y tế tự nguyện theo Luật Bảo hiểm y tế, khoản đóng góp tham gia bảo hiểm hưu trí bổ sung theo Luật Bảo hiểm xã hội, mua bảo hiểm hưu trí tự nguyện, bảo hiểm nhân thọ.</w:t>
      </w:r>
    </w:p>
    <w:p w14:paraId="28935E5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Mức đóng góp tham gia bảo hiểm hưu trí bổ sung theo Luật Bảo hiểm xã hội, mua bảo hiểm hưu trí tự nguyện, bảo hiểm nhân thọ được trừ ra khỏi thu nhập khi xác định thu nhập tính thuế quy định tại điểm này tổng tối đa không quá 03 triệu đồng/tháng cho các hình thức tham gia bảo hiểm này, bao gồm cả số tiền do người sử dụng lao động đóng cho người lao động và cả số tiền do người lao động tự đóng (nếu có).</w:t>
      </w:r>
    </w:p>
    <w:p w14:paraId="3896BA6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cá nhân cư trú tại Việt Nam có thu nhập từ tiền lương, tiền công ở nước ngoài đã tham gia đóng các khoản bảo hiểm bắt buộc theo quy định của quốc gia nơi cá nhân đóng các loại bảo hiểm này như bảo hiểm xã hội, bảo hiểm y tế, bảo hiểm thất nghiệp, bảo hiểm trách nhiệm nghề nghiệp đối với một số ngành, nghề phải tham gia bảo hiểm bắt buộc thì được trừ các khoản phí bảo hiểm đó vào thu nhập chịu thuế khi xác định thu nhập tính thuế từ tiền lương, tiền công.</w:t>
      </w:r>
    </w:p>
    <w:p w14:paraId="0979948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Khoản đóng góp bảo hiểm xã hội, bảo hiểm y tế, bảo hiểm thất nghiệp, bảo hiểm trách nhiệm nghề nghiệp đối với một số ngành, nghề phải tham gia bảo hiểm bắt buộc, khoản đóng góp tham gia bảo hiểm hưu trí bổ sung theo Luật Bảo hiểm xã hội, mua bảo hiểm hưu trí tự nguyện của năm nào được trừ vào thu nhập chịu thuế của năm đó.</w:t>
      </w:r>
    </w:p>
    <w:p w14:paraId="1843BEB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Căn cứ xác định thu nhập được trừ là bản chụp chứng từ nộp tiền (hoặc nộp phí) do tổ chức bảo hiểm, quỹ hưu trí bổ sung, doanh nghiệp bảo hiểm cấp và xác nhận của tổ chức trả thu nhập về số tiền bảo hiểm đã khấu trừ, đã nộp (trường hợp tổ chức trả thu nhập nộp thay);</w:t>
      </w:r>
    </w:p>
    <w:p w14:paraId="79F8F4E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Các khoản giảm trừ gia cảnh quy định tại Điều 10 của Luật Thuế thu nhập cá nhân và Điều 47 của Nghị định này;</w:t>
      </w:r>
    </w:p>
    <w:p w14:paraId="5ED8547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Các khoản đóng góp từ thiện, nhân đạo và các khoản giảm trừ khác quy định tại Điều 11 của Luật Thuế thu nhập cá nhân và Điều 49 của Nghị định này.</w:t>
      </w:r>
    </w:p>
    <w:p w14:paraId="2C2DB14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Thời điểm xác định thu nhập tính thuế từ tiền lương, tiền công là thời điểm người sử dụng lao động trả tiền lương, tiền công cho người nộp thuế hoặc thời điểm người nộp thuế nhận được thu nhập, kể cả các khoản lợi ích bằng tiền hoặc không bằng tiền, các khoản trợ cấp, phụ cấp và thu nhập khác quy định tại Điều 8 của Nghị định này trong kỳ tính thuế.</w:t>
      </w:r>
    </w:p>
    <w:p w14:paraId="6FF5B16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Trường hợp tổ chức, cá nhân trả thu nhập từ tiền lương, tiền công cho cá nhân không bao gồm thuế thu nhập cá nhân thì việc quy đổi thu nhập không bao gồm thuế thành thu nhập tính thuế cụ thể như sau:</w:t>
      </w:r>
    </w:p>
    <w:p w14:paraId="3FA47FE2" w14:textId="73B3DBB1"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a) Thu nhập làm căn cứ quy đổi thành thu nhập tính thuế là thu nhập thực nhận cộng (+) với các khoản lợi ích do tổ chức, cá nhân trả thu nhập trả thay cho cá nhân nhận thu nhập (nếu có) trừ (-) đi các khoản giảm trừ. Trường hợp người sử dụng lao động áp dụng chính sách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tiền thu</w:t>
      </w:r>
      <w:r w:rsidR="00774729" w:rsidRPr="00322B1D">
        <w:rPr>
          <w:rFonts w:ascii="Times New Roman" w:hAnsi="Times New Roman" w:cs="Times New Roman"/>
          <w:color w:val="000000" w:themeColor="text1"/>
        </w:rPr>
        <w:t>ế</w:t>
      </w:r>
      <w:r w:rsidRPr="00322B1D">
        <w:rPr>
          <w:rFonts w:ascii="Times New Roman" w:hAnsi="Times New Roman" w:cs="Times New Roman"/>
          <w:color w:val="000000" w:themeColor="text1"/>
        </w:rPr>
        <w:t xml:space="preserve"> giả định</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xml:space="preserve">,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tiền nhà giả định</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xml:space="preserve"> thì thu nhập làm căn cứ quy đổi thành thu nhập tính thuế không bao gồm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tiền thuế giả định</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xml:space="preserve">,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tiền nhà giả định</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xml:space="preserve">. Trường hợp trong các khoản trả thay có tiền thuê nhà thì tiền thuê nhà tính vào thu nhập làm căn cứ quy đổi bằng số thực trả nhưng không vượt quá 15% tổng thu nhập chịu thuế phát sinh tại đơn vị không phân biệt nơi trả thu nhập (chưa bao gồm tiền thuê nhà, điện, nước và các dịch vụ kèm theo thực tế phát sinh, </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tiền nhà giả định</w:t>
      </w:r>
      <w:r w:rsidR="001C36A2" w:rsidRPr="00322B1D">
        <w:rPr>
          <w:rFonts w:ascii="Times New Roman" w:hAnsi="Times New Roman" w:cs="Times New Roman"/>
          <w:color w:val="000000" w:themeColor="text1"/>
        </w:rPr>
        <w:t>”</w:t>
      </w:r>
      <w:r w:rsidRPr="00322B1D">
        <w:rPr>
          <w:rFonts w:ascii="Times New Roman" w:hAnsi="Times New Roman" w:cs="Times New Roman"/>
          <w:color w:val="000000" w:themeColor="text1"/>
        </w:rPr>
        <w:t xml:space="preserve"> (nếu có));</w:t>
      </w:r>
    </w:p>
    <w:p w14:paraId="24CAE07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Công thức xác định thu nhập làm căn cứ quy đổi cụ thể như sau:</w:t>
      </w:r>
    </w:p>
    <w:tbl>
      <w:tblPr>
        <w:tblW w:w="5000" w:type="pct"/>
        <w:tblCellMar>
          <w:left w:w="10" w:type="dxa"/>
          <w:right w:w="10" w:type="dxa"/>
        </w:tblCellMar>
        <w:tblLook w:val="07E0" w:firstRow="1" w:lastRow="1" w:firstColumn="1" w:lastColumn="1" w:noHBand="1" w:noVBand="1"/>
      </w:tblPr>
      <w:tblGrid>
        <w:gridCol w:w="3041"/>
        <w:gridCol w:w="257"/>
        <w:gridCol w:w="1729"/>
        <w:gridCol w:w="257"/>
        <w:gridCol w:w="2376"/>
        <w:gridCol w:w="164"/>
        <w:gridCol w:w="1833"/>
      </w:tblGrid>
      <w:tr w:rsidR="001C36A2" w:rsidRPr="00322B1D" w14:paraId="567298E0" w14:textId="77777777" w:rsidTr="007D5FDE">
        <w:trPr>
          <w:trHeight w:val="20"/>
        </w:trPr>
        <w:tc>
          <w:tcPr>
            <w:tcW w:w="1575" w:type="pct"/>
            <w:vAlign w:val="center"/>
          </w:tcPr>
          <w:p w14:paraId="6BE7FD01" w14:textId="117CE679" w:rsidR="009166B8" w:rsidRPr="00322B1D" w:rsidRDefault="00A04B29"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Thu nhập làm căn</w:t>
            </w:r>
            <w:r w:rsidR="001C36A2" w:rsidRPr="00322B1D">
              <w:rPr>
                <w:rFonts w:ascii="Times New Roman" w:hAnsi="Times New Roman" w:cs="Times New Roman"/>
                <w:color w:val="000000" w:themeColor="text1"/>
              </w:rPr>
              <w:br/>
            </w:r>
            <w:r w:rsidRPr="00322B1D">
              <w:rPr>
                <w:rFonts w:ascii="Times New Roman" w:hAnsi="Times New Roman" w:cs="Times New Roman"/>
                <w:color w:val="000000" w:themeColor="text1"/>
              </w:rPr>
              <w:t>cứ quy đổi</w:t>
            </w:r>
          </w:p>
        </w:tc>
        <w:tc>
          <w:tcPr>
            <w:tcW w:w="133" w:type="pct"/>
            <w:vAlign w:val="center"/>
          </w:tcPr>
          <w:p w14:paraId="3DE1F950" w14:textId="77777777" w:rsidR="009166B8" w:rsidRPr="00322B1D" w:rsidRDefault="00A04B29"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895" w:type="pct"/>
            <w:vAlign w:val="center"/>
          </w:tcPr>
          <w:p w14:paraId="5454B8EF" w14:textId="1534BAD5" w:rsidR="009166B8" w:rsidRPr="00322B1D" w:rsidRDefault="00A04B29"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Thu nhập</w:t>
            </w:r>
            <w:r w:rsidR="001C36A2" w:rsidRPr="00322B1D">
              <w:rPr>
                <w:rFonts w:ascii="Times New Roman" w:hAnsi="Times New Roman" w:cs="Times New Roman"/>
                <w:color w:val="000000" w:themeColor="text1"/>
              </w:rPr>
              <w:br/>
            </w:r>
            <w:r w:rsidRPr="00322B1D">
              <w:rPr>
                <w:rFonts w:ascii="Times New Roman" w:hAnsi="Times New Roman" w:cs="Times New Roman"/>
                <w:color w:val="000000" w:themeColor="text1"/>
              </w:rPr>
              <w:t>thực nhận</w:t>
            </w:r>
          </w:p>
        </w:tc>
        <w:tc>
          <w:tcPr>
            <w:tcW w:w="133" w:type="pct"/>
            <w:vAlign w:val="center"/>
          </w:tcPr>
          <w:p w14:paraId="514798FE" w14:textId="77777777" w:rsidR="009166B8" w:rsidRPr="00322B1D" w:rsidRDefault="00A04B29"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1230" w:type="pct"/>
            <w:vAlign w:val="center"/>
          </w:tcPr>
          <w:p w14:paraId="1F3EE9C5" w14:textId="76CAEDFB" w:rsidR="009166B8" w:rsidRPr="00322B1D" w:rsidRDefault="00A04B29"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Các khoản trả</w:t>
            </w:r>
            <w:r w:rsidR="001C36A2" w:rsidRPr="00322B1D">
              <w:rPr>
                <w:rFonts w:ascii="Times New Roman" w:hAnsi="Times New Roman" w:cs="Times New Roman"/>
                <w:color w:val="000000" w:themeColor="text1"/>
              </w:rPr>
              <w:br/>
            </w:r>
            <w:r w:rsidRPr="00322B1D">
              <w:rPr>
                <w:rFonts w:ascii="Times New Roman" w:hAnsi="Times New Roman" w:cs="Times New Roman"/>
                <w:color w:val="000000" w:themeColor="text1"/>
              </w:rPr>
              <w:t>thay</w:t>
            </w:r>
          </w:p>
        </w:tc>
        <w:tc>
          <w:tcPr>
            <w:tcW w:w="85" w:type="pct"/>
            <w:vAlign w:val="center"/>
          </w:tcPr>
          <w:p w14:paraId="4B9AF558" w14:textId="77777777" w:rsidR="009166B8" w:rsidRPr="00322B1D" w:rsidRDefault="00A04B29"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949" w:type="pct"/>
            <w:vAlign w:val="center"/>
          </w:tcPr>
          <w:p w14:paraId="611AA681" w14:textId="69648259" w:rsidR="009166B8" w:rsidRPr="00322B1D" w:rsidRDefault="00A04B29" w:rsidP="001C36A2">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Các khoản</w:t>
            </w:r>
            <w:r w:rsidR="001C36A2" w:rsidRPr="00322B1D">
              <w:rPr>
                <w:rFonts w:ascii="Times New Roman" w:hAnsi="Times New Roman" w:cs="Times New Roman"/>
                <w:color w:val="000000" w:themeColor="text1"/>
              </w:rPr>
              <w:br/>
            </w:r>
            <w:r w:rsidRPr="00322B1D">
              <w:rPr>
                <w:rFonts w:ascii="Times New Roman" w:hAnsi="Times New Roman" w:cs="Times New Roman"/>
                <w:color w:val="000000" w:themeColor="text1"/>
              </w:rPr>
              <w:t>giảm trừ</w:t>
            </w:r>
          </w:p>
        </w:tc>
      </w:tr>
    </w:tbl>
    <w:p w14:paraId="2638508B" w14:textId="77777777" w:rsidR="00D21DBC" w:rsidRPr="00322B1D" w:rsidRDefault="00D21DBC" w:rsidP="00D21DBC">
      <w:pPr>
        <w:adjustRightInd w:val="0"/>
        <w:snapToGrid w:val="0"/>
        <w:spacing w:after="0" w:line="240" w:lineRule="auto"/>
        <w:jc w:val="center"/>
        <w:rPr>
          <w:rFonts w:ascii="Times New Roman" w:hAnsi="Times New Roman" w:cs="Times New Roman"/>
          <w:color w:val="000000" w:themeColor="text1"/>
        </w:rPr>
      </w:pPr>
    </w:p>
    <w:p w14:paraId="055FA671" w14:textId="78CE87B0"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Trong đó:</w:t>
      </w:r>
    </w:p>
    <w:p w14:paraId="4180E11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thực nhận là tiền lương, tiền công không bao gồm thuế mà người lao động nhận được hàng tháng, không bao gồm các khoản thu nhập không tính vào thu nhập chịu thuế quy định tại Điều 8 của Nghị định này và thu nhập được miễn thuế quy định tại Mục 1 Chương III của Nghị định này.</w:t>
      </w:r>
    </w:p>
    <w:p w14:paraId="0848175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Các khoản trả thay là các khoản lợi ích bằng tiền hoặc không bằng tiền do người sử dụng lao động trả thay cho người lao động theo quy định tại Nghị định này.</w:t>
      </w:r>
    </w:p>
    <w:p w14:paraId="50B4DC6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Các khoản giảm trừ bao gồm: giảm trừ gia cảnh; giảm trừ đóng góp bảo hiểm xã hội, bảo hiểm y tế, bảo hiểm thất nghiệp, bảo hiểm trách nhiệm nghề nghiệp đối với một số ngành, nghề phải tham gia bảo hiểm bắt buộc, khoản đóng góp bảo hiểm xã hội tự nguyện theo Luật Bảo hiểm xã hội, khoản đóng góp bảo hiểm y tế tự nguyện theo Luật Bảo hiểm y tế, khoản đóng góp tham gia bảo hiểm hưu trí bổ sung theo quy định của Luật Bảo hiểm xã hội, mua bảo hiểm hưu trí tự nguyện, bảo hiểm nhân thọ không vượt quá mức quy định tại điểm a khoản 2 Điều này; giảm trừ đối với các khoản đóng góp từ thiện, nhân đạo và các khoản giảm trừ khác quy định tại Điều 49 của Nghị định này.</w:t>
      </w:r>
    </w:p>
    <w:p w14:paraId="4577DC7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Trường hợp cá nhân thuộc diện quyết toán thuế theo quy định thì thu nhập chịu thuế của năm là tổng thu nhập chịu thuế của từng tháng được xác định trên cơ sở thu nhập tính thuế đã quy đổi. Trường hợp cá nhân có thu nhập không bao gồm thuế từ nhiều tổ chức trả thu nhập thì thu nhập chịu thuế của năm là tổng thu nhập chịu thuế từng tháng tại các tổ chức trả thu nhập trong năm.</w:t>
      </w:r>
    </w:p>
    <w:p w14:paraId="2251AFE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lastRenderedPageBreak/>
        <w:t>Điều 47. Giảm trừ gia cảnh</w:t>
      </w:r>
    </w:p>
    <w:p w14:paraId="32D5EF4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Cá nhân cư trú được trừ vào thu nhập chịu thuế thu nhập cá nhân từ tiền lương, tiền công khoản giảm trừ gia cảnh quy định tại khoản 1 Điều 10 của Luật Thuế thu nhập cá nhân, bao gồm:</w:t>
      </w:r>
    </w:p>
    <w:p w14:paraId="5448959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Mức giảm trừ đối với người nộp thuế theo quy định tại điểm a khoản 1 Điều 10 của Luật Thuế thu nhập cá nhân;</w:t>
      </w:r>
    </w:p>
    <w:p w14:paraId="7FA06B5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Mức giảm trừ đối với mỗi người phụ thuộc quy định tại điểm b khoản 1 Điều 10 của Luật Thuế thu nhập cá nhân.</w:t>
      </w:r>
    </w:p>
    <w:p w14:paraId="484206F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Đối tượng và căn cứ xác định người phụ thuộc mà người nộp thuế có trách nhiệm nuôi dưỡng như sau:</w:t>
      </w:r>
    </w:p>
    <w:p w14:paraId="281264B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Con (bao gồm con đẻ, con nuôi theo quy định của pháp luật, con riêng của vợ, con riêng của chồng) dưới 18 tuổi;</w:t>
      </w:r>
    </w:p>
    <w:p w14:paraId="64AF57D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Con (bao gồm con đẻ, con nuôi theo quy định của pháp luật, con riêng của vợ, con riêng của chồng) từ 18 tuổi trở lên trong các trường hợp sau: người mất năng lực hành vi dân sự; người khuyết tật; người không có khả năng lao động;</w:t>
      </w:r>
    </w:p>
    <w:p w14:paraId="35C8A66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Con (bao gồm con đẻ, con nuôi theo quy định của pháp luật, con riêng của vợ, con riêng của chồng) đang học đại học, cao đẳng, trung học chuyên nghiệp hoặc học nghề, kể cả con từ 18 tuổi trở lên đang học bậc học phổ thông (tính cả trong thời gian chờ kết quả thi từ tháng 6 đến tháng 9 năm lớp 12), không có thu nhập hoặc có thu nhập bình quân tháng trong năm từ tất cả các nguồn thu nhập không vượt quá mức thu nhập quy định do Bộ trưởng Bộ Tài chính quy định;</w:t>
      </w:r>
    </w:p>
    <w:p w14:paraId="6DA456B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d) Vợ hoặc chồng của người nộp thuế; cha đẻ, mẹ đẻ, cha dượng, mẹ kế, cha nuôi, mẹ nuôi theo quy định của pháp luật, cha vợ, mẹ vợ (hoặc cha chồng, mẹ chồng) của người nộp thuế;</w:t>
      </w:r>
    </w:p>
    <w:p w14:paraId="54A09FF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 Cá nhân khác không nơi nương tựa mà người nộp thuế phải trực tiếp nuôi dưỡng, bao gồm anh ruột, chị ruột, em ruột của người nộp thuế; ông nội, bà nội, ông ngoại, bà ngoại của người nộp thuế; cô ruột, dì ruột, cậu ruột, chú ruột, bác ruột của người nộp thuế; cháu ruột của người nộp thuế; người phải trực tiếp nuôi dưỡng khác theo quy định của pháp luật.</w:t>
      </w:r>
    </w:p>
    <w:p w14:paraId="3126E5E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Người phụ thuộc quy định tại điểm này là cá nhân đang sống cùng người nộp thuế và người nộp thuế có nghĩa vụ nuôi dưỡng theo quy định tại các Điều 104, 105 và 106 của Luật Hôn nhân và gia đình và pháp luật liên quan khác.</w:t>
      </w:r>
    </w:p>
    <w:p w14:paraId="3C4EE12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Cá nhân được tính là người phụ thuộc theo hướng dẫn tại điểm d và điểm d khoản 2 Điều này phải đáp ứng các điều kiện sau:</w:t>
      </w:r>
    </w:p>
    <w:p w14:paraId="39216AC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Đối với người trong độ tuổi lao động phải đáp ứng đồng thời các điều kiện sau: Không có khả năng lao động, không có thu nhập hoặc có thu nhập bình quân tháng trong năm từ tất cả các nguồn thu nhập không vượt quá mức theo quy định của Bộ trưởng Bộ Tài chính;</w:t>
      </w:r>
    </w:p>
    <w:p w14:paraId="5209BED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Đối với người ngoài độ tuổi lao động phải không có thu nhập hoặc có thu nhập bình quân tháng trong năm từ tất cả các nguồn thu nhập không vượt quá mức theo quy định của Bộ trưởng Bộ Tài chính.</w:t>
      </w:r>
    </w:p>
    <w:p w14:paraId="5AEC001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Người không có khả năng lao động quy định tại Điều này là người có tỷ lệ suy giảm khả năng lao động từ 81% trở lên xác định theo quy định của pháp luật.</w:t>
      </w:r>
    </w:p>
    <w:p w14:paraId="2ACB9FF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Người nộp thuế tự đăng ký số lượng người phụ thuộc kèm theo giấy tờ hợp pháp và tự chịu trách nhiệm trước pháp luật về tính chính xác của việc đăng ký, thu nhập của người phụ thuộc.</w:t>
      </w:r>
    </w:p>
    <w:p w14:paraId="60C3752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6. Hồ sơ xác định người phụ thuộc được giảm trừ gia cảnh theo quy định của Bộ trưởng Bộ Tài chính.</w:t>
      </w:r>
    </w:p>
    <w:p w14:paraId="4572577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48. Nguyên tắc giảm trừ gia cảnh</w:t>
      </w:r>
    </w:p>
    <w:p w14:paraId="4E93866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Giảm trừ gia cảnh cho bản thân người nộp thuế</w:t>
      </w:r>
    </w:p>
    <w:p w14:paraId="0C98843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a) Người nộp thuế có nhiều nguồn thu nhập từ tiền lương, tiền công thì tại một thời điểm người nộp thuế lựa chọn tính giảm trừ gia cảnh cho bản thân tại một nơi trả thu nhập (được tính đủ theo tháng);</w:t>
      </w:r>
    </w:p>
    <w:p w14:paraId="52145D6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Trường hợp trong năm tính thuế cá nhân chưa giảm trừ cho bản thân hoặc giảm trừ cho bản thân chưa đủ 12 tháng thì được giảm trừ đủ 12 tháng khi thực hiện quyết toán thuế theo quy định;</w:t>
      </w:r>
    </w:p>
    <w:p w14:paraId="724F760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Đối với người nước ngoài là cá nhân cư trú tại Việt Nam được tính giảm trừ cho bản thân từ tháng một hàng năm hoặc từ tháng đến Việt Nam trong trường hợp cá nhân lần đầu tiên có mặt tại Việt Nam đến tháng kết thúc hợp đồng lao động và rời Việt Nam trong năm tính thuế (được tính đủ theo tháng).</w:t>
      </w:r>
    </w:p>
    <w:p w14:paraId="6D6FED4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Giảm trừ gia cảnh cho người phụ thuộc</w:t>
      </w:r>
    </w:p>
    <w:p w14:paraId="79EF2EB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Người nộp thuế được tính giảm trừ gia cảnh cho người phụ thuộc nếu người nộp thuế đã đăng ký thuế và đăng ký người phụ thuộc. Thời hạn đăng ký người phụ thuộc cùng với hồ sơ chứng minh người phụ thuộc trước ngày 31 tháng 12 của năm tính thuế và thực hiện ổn định cho các năm sau nếu không có thay đổi.</w:t>
      </w:r>
    </w:p>
    <w:p w14:paraId="67E0D01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người nộp thuế chưa tính giảm trừ gia cảnh cho người phụ thuộc trong năm tính thuế thì được tính giảm trừ cho người phụ thuộc kể từ tháng phát sinh nghĩa vụ nuôi dưỡng;</w:t>
      </w:r>
    </w:p>
    <w:p w14:paraId="369AFA1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Khi người nộp thuế đăng ký giảm trừ cho người phụ thuộc sẽ được tạm tính giảm trừ gia cảnh trong năm kể từ khi đăng ký người phụ thuộc (được tính đủ theo tháng).</w:t>
      </w:r>
    </w:p>
    <w:p w14:paraId="7278022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nhiều người nộp thuế có chung người phụ thuộc phải nuôi dưỡng thì người nộp thuế tự thỏa thuận để đăng ký giảm trừ gia cảnh vào một người nộp thuế trong năm tính thuế. Trường hợp có thay đổi về thỏa thuận thì việc thay đổi áp dụng cho kỳ tính thuế tiếp theo;</w:t>
      </w:r>
    </w:p>
    <w:p w14:paraId="00F7001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Trường hợp người nộp thuế có nhiều nguồn thu nhập từ tiền lương, tiền công thì được lựa chọn nơi đăng ký giảm trừ gia cảnh cho người phụ thuộc và phải đảm bảo mỗi người phụ thuộc chỉ được tính giảm trừ một lần vào một người nộp thuế trong năm tính thuế.</w:t>
      </w:r>
    </w:p>
    <w:p w14:paraId="1ECC14B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49. Giảm trừ đối với các khoản đóng góp từ thiện, nhân đạo và các khoản giảm trừ khác</w:t>
      </w:r>
    </w:p>
    <w:p w14:paraId="164311C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Cá nhân cư trú được giảm trừ vào thu nhập chịu thuế trước khi tính thuế đối với thu nhập từ tiền lương, tiền công các khoản đóng góp từ thiện, nhân đạo sau đây:</w:t>
      </w:r>
    </w:p>
    <w:p w14:paraId="260D390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Khoản đóng góp vào các tổ chức, cơ sở chăm sóc, nuôi dưỡng trẻ em có hoàn cảnh đặc biệt khó khăn, người tàn tật, người già không nơi nương tựa;</w:t>
      </w:r>
    </w:p>
    <w:p w14:paraId="6452635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Khoản đóng góp vào các quỹ từ thiện, quỹ nhân đạo, quỹ khuyến học;</w:t>
      </w:r>
    </w:p>
    <w:p w14:paraId="47B9672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Khoản đóng góp vào các tổ chức có chức năng huy động tài trợ được thành lập và hoạt động theo quy định của pháp luật.</w:t>
      </w:r>
    </w:p>
    <w:p w14:paraId="2EB7B01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Tổ chức, cơ sở và các quỹ quy định tại khoản này phải được cơ quan nhà nước có thẩm quyền cho phép thành lập hoặc công nhận, hoạt động vì mục đích từ thiện, nhân đạo, khuyến học, không vì mục tiêu lợi nhuận.</w:t>
      </w:r>
    </w:p>
    <w:p w14:paraId="57EB4988" w14:textId="6BFDDBD4"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Hồ sơ xác định khoản đóng góp quy định tại khoản này là bản chụp chứng từ </w:t>
      </w:r>
      <w:r w:rsidR="00D052A9" w:rsidRPr="00322B1D">
        <w:rPr>
          <w:rFonts w:ascii="Times New Roman" w:hAnsi="Times New Roman" w:cs="Times New Roman"/>
          <w:color w:val="000000" w:themeColor="text1"/>
        </w:rPr>
        <w:t xml:space="preserve">thu </w:t>
      </w:r>
      <w:r w:rsidRPr="00322B1D">
        <w:rPr>
          <w:rFonts w:ascii="Times New Roman" w:hAnsi="Times New Roman" w:cs="Times New Roman"/>
          <w:color w:val="000000" w:themeColor="text1"/>
        </w:rPr>
        <w:t>hợp pháp của tổ chức, cơ sở và các quỹ hoặc chứng từ thanh toán không dùng tiền mặt qua tổ chức tín dụng.</w:t>
      </w:r>
    </w:p>
    <w:p w14:paraId="7870C4D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Người nộp thuế là cá nhân cư trú được giảm trừ vào thu nhập chịu thuế trước khi tính thuế đối với thu nhập từ tiền lương, tiền công các khoản chi cho y tế, giáo dục - đào tạo của người nộp thuế và người phụ thuộc của người nộp thuế, bao gồm:</w:t>
      </w:r>
    </w:p>
    <w:p w14:paraId="193B5AA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Các khoản chi cho khám bệnh, chữa bệnh tại cơ sở y tế trong nước thuộc phạm vi danh mục do bảo hiểm y tế chi trả tổng không quá 23 triệu đồng/năm;</w:t>
      </w:r>
    </w:p>
    <w:p w14:paraId="15123CB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b) Các khoản chi cho giáo dục - đào tạo tại cơ sở giáo dục - đào tạo trong nước tổng không quá 24 triệu đồng/năm, cụ thể: Khoản tiền học phí giáo dục mầm non, giáo dục phổ thông, giáo dục </w:t>
      </w:r>
      <w:r w:rsidRPr="00322B1D">
        <w:rPr>
          <w:rFonts w:ascii="Times New Roman" w:hAnsi="Times New Roman" w:cs="Times New Roman"/>
          <w:color w:val="000000" w:themeColor="text1"/>
        </w:rPr>
        <w:lastRenderedPageBreak/>
        <w:t>nghề nghiệp và giáo dục đại học theo quy định của pháp luật về giáo dục - đào tạo và các kỹ năng chuyên môn khác tại cơ sở giáo dục - đào tạo.</w:t>
      </w:r>
    </w:p>
    <w:p w14:paraId="77B1311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Các khoản chi phí mà người nộp thuế được giảm trừ quy định tại khoản 2 Điều này phải đáp ứng các điều kiện sau:</w:t>
      </w:r>
    </w:p>
    <w:p w14:paraId="63B4568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Có hóa đơn, chứng từ theo quy định của pháp luật; riêng đối với khoản chi cho y tế phải có thêm Bảng kê chi phí khám bệnh, chữa bệnh sử dụng tại các cơ sở khám bệnh, chữa bệnh theo quy định của Bộ trưởng Bộ Y tế;</w:t>
      </w:r>
    </w:p>
    <w:p w14:paraId="186874E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Hóa đơn, chứng từ để được giảm trừ phải thể hiện thông tin của người nộp thuế hoặc người phụ thuộc của người nộp thuế;</w:t>
      </w:r>
    </w:p>
    <w:p w14:paraId="7A597F0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Không được chi trả từ các nguồn khác, kể cả từ nguồn tài trợ, hỗ trợ, trả thay của tổ chức, cá nhân, nguồn ngân sách nhà nước, quỹ bảo hiểm xã hội, bảo hiểm y tế, bảo hiểm chi trả dưới các hình thức.</w:t>
      </w:r>
    </w:p>
    <w:p w14:paraId="566C44A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Trường hợp áp dụng giảm thuế đối với các khoản chi cho y tế tại Điều 40 của Nghị định này hoặc phát sinh các khoản chi cho y tế, giáo dục - đào tạo tại các điểm b, g và i khoản 4 Điều 8 của Nghị định này thì các khoản chi này không tính vào các khoản giảm trừ quy định tại khoản 2 Điều này.</w:t>
      </w:r>
    </w:p>
    <w:p w14:paraId="1293A62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Khoản đóng góp từ thiện, nhân đạo và các khoản giảm trừ khác phát sinh vào năm nào thì được tính giảm trừ vào thu nhập chịu thuế của năm đó, không được chuyển trừ vào thu nhập chịu thuế của năm tính thuế tiếp theo. Trường hợp cá nhân đã thực hiện quyết toán thuế mà chưa có hóa đơn, chứng từ để xác định các khoản chi cho y tế, giáo dục - đào tạo quy định tại khoản 3 Điều này thì việc điều chỉnh nghĩa vụ thuế thực hiện theo quy định của pháp luật về quản lý thuế.</w:t>
      </w:r>
    </w:p>
    <w:p w14:paraId="4559B89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50. Khấu trừ thuế</w:t>
      </w:r>
    </w:p>
    <w:p w14:paraId="1E0BB9A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Trừ các đối tượng quy định tại khoản 2 và khoản 3 Điều này, khi tổ chức, cá nhân chi trả thu nhập cho người nộp thuế phải thực hiện khấu trừ thuế và nộp số thuế đã khấu trừ của cá nhân căn cứ vào:</w:t>
      </w:r>
    </w:p>
    <w:p w14:paraId="42DDD6A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Thu nhập tính thuế tháng (đối với các khoản thu nhập do tổ chức, cá nhân chi trả, chi trả thay cho cá nhân);</w:t>
      </w:r>
    </w:p>
    <w:p w14:paraId="53803A6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Biểu thuế lũy tiến từng phần quy định tại Điều 9 của Luật Thuế thu nhập cá nhân.</w:t>
      </w:r>
    </w:p>
    <w:p w14:paraId="794D5FA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Tổ chức, cá nhân trả tiền lương, tiền công, tiền thù lao, tiền chi khác cho cá nhân cư trú không ký hợp đồng hoặc ký hợp đồng lao động dưới 03 tháng (bao gồm cả trường hợp trả tiền lương, thu nhập khác cho người lao động đã chấm dứt hợp đồng lao động) mà mức chi trả thu nhập từ 05 triệu đồng/lần trở lên thì phải khấu trừ thuế và nộp số thuế đã khấu trừ của cá nhân theo tỷ lệ 10% trên thu nhập trước khi trả thu nhập cho cá nhân. Trường hợp mức chi trả thu nhập dưới 05 triệu đồng/lần thì tổ chức, cá nhân trả thu nhập được khấu trừ thuế theo tỷ lệ 10% khi cá nhân có yêu cầu.</w:t>
      </w:r>
    </w:p>
    <w:p w14:paraId="285C5D0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cá nhân chỉ có thu nhập thuộc đối tượng phải khấu trừ thuế theo tỷ lệ nêu trên nhưng ước tính tổng mức thu nhập chịu thuế của cá nhân sau khi giảm trừ gia cảnh chưa đến mức phải nộp thuế thì cá nhân có thu nhập làm cam kết (theo mẫu ban hành kèm theo văn bản hướng dẫn về quản lý thuế) gửi tổ chức trả thu nhập để tổ chức trả thu nhập làm căn cứ tạm thời chưa khấu trừ thuế thu nhập cá nhân. Cá nhân làm cam kết phải chịu trách nhiệm về bản cam kết của mình, trường hợp phát hiện có sự gian lận sẽ bị xử lý theo quy định của pháp luật về quản lý thuế và pháp luật liên quan khác.</w:t>
      </w:r>
    </w:p>
    <w:p w14:paraId="7A69555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Căn cứ vào cam kết của cá nhân, tổ chức trả thu nhập không khấu trừ thuế. Kết thúc năm tính thuế, tổ chức trả thu nhập vẫn phải tổng hợp danh sách và thu nhập của những cá nhân chưa đến mức khấu trừ thuế theo mẫu ban hành kèm theo văn bản hướng dẫn về quản lý thuế và nộp cho cơ quan thuế.</w:t>
      </w:r>
    </w:p>
    <w:p w14:paraId="35FAEFB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Đối với cá nhân cư trú ký hợp đồng lao động từ 03 tháng trở lên thì tổ chức, cá nhân trả thu nhập thực hiện khấu trừ thuế theo Biểu thuế lũy tiến từng phần theo quy định tại khoản 1 Điều này, kể cả trường hợp cá nhân ký hợp đồng từ 03 tháng trở lên tại nhiều nơi.</w:t>
      </w:r>
    </w:p>
    <w:p w14:paraId="76CB6A3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Một số trường hợp cụ thể như sau:</w:t>
      </w:r>
    </w:p>
    <w:p w14:paraId="74B7A4C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Trường hợp người lao động được thưởng bằng cổ phiếu hoặc mua cổ phiếu với giá ưu đãi theo kế hoạch phát hành cổ phiếu theo chương trình lựa chọn cho người lao động (ESOP) thì chưa phải tính vào thu nhập từ tiền lương, tiền công khi nhận cổ phiếu. Khi nhận được thu nhập từ chuyển nhượng số cổ phiếu này, cá nhân phải nộp thuế thu nhập cá nhân đối với thu nhập từ tiền lương, tiền công; đồng thời, khi chuyển nhượng cá nhân phải thực hiện nộp thuế đối với thu nhập từ chuyển nhượng chứng khoán quy định tại Điều 54 của Nghị định này. Trường hợp chuyển nhượng cổ phiếu cùng loại thì phải nộp thuế thu nhập cá nhân từ tiền lương, tiền công cho tới khi hết số cổ phiếu thưởng, cổ phiếu ESOP.</w:t>
      </w:r>
    </w:p>
    <w:p w14:paraId="4439B25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Căn cứ xác định thu nhập chịu thuế của cổ phiếu thưởng quy định tại điểm này là số tiền chi cho người lao động ghi trên sổ sách kế toán của tổ chức trả thu nhập tại thời điểm thưởng. Trường hợp không xác định được số tiền chi cho người lao động ghi trên sổ sách kế toán của tổ chức trả thu nhập thì thu nhập chịu thuế được xác định bằng số lượng cổ phiếu thực nhận nhân (x) với mệnh giá, nếu giá chuyển nhượng cổ phiếu thấp hơn mệnh giá thì thuế thu nhập cá nhân đối với thu nhập từ cổ phiếu được thưởng tính theo giá thị trường tại thời điểm chuyển nhượng.</w:t>
      </w:r>
    </w:p>
    <w:p w14:paraId="747AE50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Căn cứ xác định thu nhập chịu thuế của cổ phiếu ESOP quy định tại điểm này là số tiền chi cho người lao động ghi trên sổ sách kế toán của tổ chức trả thu nhập tại thời điểm phát hành cổ phiếu ESOP. Trường hợp không xác định được số tiền chi cho người lao động ghi trên sổ sách kế toán của tổ chức trả thu nhập thì thu nhập chịu thuế được xác định bằng số lượng cổ phiếu thực nhận nhân (x) với mệnh giá trừ (-) đi số tiền người lao động đã bỏ ra để mua cổ phiếu ESOP, nếu phát sinh chênh lệch âm thì cá nhân không phải nộp thuế thu nhập cá nhân từ tiền lương, tiền công đối với cổ phiếu ESOP.</w:t>
      </w:r>
    </w:p>
    <w:p w14:paraId="29B042D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Cá nhân nhận cổ phiếu thưởng, cổ phiếu ESOP có trách nhiệm kê khai đầy đủ nguồn gốc và giá trị thực hưởng của cổ phiếu thưởng, cổ phiếu ESOP khi thực hiện lưu ký cổ phiếu tại công ty chứng khoán, ngân hàng thương mại nơi cá nhân mở tài khoản lưu ký. Công ty chứng khoán, ngân hàng thương mại nơi cá nhân mở tài khoản lưu ký theo dõi riêng số cổ phiếu được thưởng, cổ phiếu ESOP của cá nhân và thực hiện việc khấu trừ thuế và nộp số thuế đã khấu trừ theo tỷ lệ 10% tương ứng với thu nhập chịu thuế từ cổ phiếu được thưởng, cổ phiếu ESOP của cá nhân. Cá nhân tổng hợp thu nhập từ cổ phiếu được thưởng, cổ phiếu ESOP vào thu nhập chịu thuế từ tiền lương, tiền công trong năm tính thuế để thực hiện quyết toán thuế thu nhập cá nhân theo quy định.</w:t>
      </w:r>
    </w:p>
    <w:p w14:paraId="69FFEB5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Trường hợp người sử dụng lao động mua cho người lao động bảo hiểm nhân thọ (không bao gồm bảo hiểm hưu trí bổ sung, bảo hiểm hưu trí tự nguyện), bảo hiểm không bắt buộc khác có tích lũy về phí bảo hiểm của doanh nghiệp bảo hiểm được thành lập và hoạt động theo quy định của pháp luật Việt Nam, người lao động chưa phải tính vào thu nhập chịu thuế từ tiền lương, tiền công khi người sử dụng lao động mua bảo hiểm. Đến thời điểm đáo hạn hợp đồng, doanh nghiệp bảo hiểm có trách nhiệm khấu trừ thuế và nộp số thuế đã khấu trừ theo tỷ lệ 10% trên khoản tiền phí tích lũy tương ứng với phần người sử dụng lao động mua cho người lao động từ ngày 01 tháng 7 năm 2013. Đối với phần phí bảo hiểm nhân thọ từ ngày 01 tháng 01 năm 2026, tiền phí tích lũy tính trên phần vượt mức quy định tại điểm a khoản 2 Điều 46 của Nghị định này. Trường hợp khoản phí tích lũy được trả nhiều lần thì tiền thuế được khấu trừ theo tỷ lệ 10% tương ứng với từng lần trả tiền phí tích lũy. Cá nhân không phải quyết toán thuế đối với phần thu nhập này.</w:t>
      </w:r>
    </w:p>
    <w:p w14:paraId="19F386C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Người sử dụng lao động có trách nhiệm xác định phần phí bảo hiểm nhân thọ từ ngày 01 tháng 01 năm 2026 vượt mức quy định tại điểm a khoản 2 Điều 46 của Nghị định này để thông tin cho doanh nghiệp bảo hiểm. Trường hợp người lao động tham gia cả bảo hiểm hưu trí bổ sung theo Luật Bảo hiểm xã hội, mua bảo hiểm hưu trí tự nguyện, bảo hiểm nhân thọ thì mức được trừ tối đa 03 triệu đồng/tháng áp dụng trên tổng tiền đóng cho các loại hình này, người sử dụng lao động tự phân bổ mức được trừ tối đa 03 triệu đồng/tháng vào một hoặc nhiều hình thức bảo hiểm do người lao động lựa chọn.</w:t>
      </w:r>
    </w:p>
    <w:p w14:paraId="2E85450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Doanh nghiệp bảo hiểm có trách nhiệm theo dõi riêng phần phí bảo hiểm nhân thọ, bảo hiểm không bắt buộc khác do người sử dụng lao động mua hoặc đóng góp cho người lao động để làm căn cứ tính thuế thu nhập cá nhân.</w:t>
      </w:r>
    </w:p>
    <w:p w14:paraId="49B6BA4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người sử dụng lao động mua cho người lao động bảo hiểm nhân thọ (không bao gồm bảo hiểm hưu trí bổ sung, bảo hiểm hưu trí tự nguyện), bảo hiểm không bắt buộc khác có tích lũy về phí bảo hiểm của doanh nghiệp bảo hiểm không thành lập và hoạt động theo pháp luật Việt Nam được phép bán bảo hiểm tại Việt Nam thì người sử dụng lao động có trách nhiệm khấu trừ thuế và nộp số thuế đã khấu trừ theo tỷ lệ 10% trên khoản tiền phí bảo hiểm đã mua hoặc đóng góp vượt mức quy định tại điểm a khoản 2 Điều 46 của Nghị định này trước khi trả lương cho người lao động. Cá nhân không phải quyết toán thuế đối với phần thu nhập này.</w:t>
      </w:r>
    </w:p>
    <w:p w14:paraId="0214CBE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Đối với cá nhân là người nước ngoài vào làm việc tại Việt Nam thì tổ chức, cá nhân trả thu nhập (kể cả trường hợp tổ chức, cá nhân là bên Việt Nam hoàn trả chi phí tiền lương, tiền công cho bên nước ngoài) căn cứ vào thời gian làm việc tại Việt Nam của người nộp thuế ghi trên Hợp đồng hoặc văn bản cử sang làm việc tại Việt Nam để khấu trừ thuế theo Biểu lũy tiến từng phần (đối với cá nhân có thời gian làm việc tại Việt Nam từ 183 ngày trở lên trong năm tính thuế) hoặc theo quy định tại Điều 64 của Nghị định này (đối với cá nhân có thời gian làm việc tại Việt Nam dưới 183 ngày trong năm tính thuế). Cá nhân cư trú là người nước ngoài kết thúc hợp đồng làm việc tại Việt Nam trước khi xuất cảnh phải quyết toán thuế với cơ quan thuế hoặc ủy quyền cho tổ chức, cá nhân khác quyết toán thuế và chịu trách nhiệm về nghĩa vụ thuế thu nhập cá nhân phải nộp.</w:t>
      </w:r>
    </w:p>
    <w:p w14:paraId="72DF006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51. Quyết toán thuế</w:t>
      </w:r>
    </w:p>
    <w:p w14:paraId="70207FE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Tổ chức, cá nhân trả thu nhập; cá nhân cư trú có thu nhập từ tiền lương, tiền công có trách nhiệm quyết toán thuế theo năm, trừ các trường hợp sau:</w:t>
      </w:r>
    </w:p>
    <w:p w14:paraId="29D7F97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Cá nhân có số thuế phải nộp nhỏ hơn số thuế đã nộp trong kỳ tính thuế mà không có yêu cầu hoàn thuế hoặc bù trừ thuế vào kỳ sau;</w:t>
      </w:r>
    </w:p>
    <w:p w14:paraId="5D8A32C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Cá nhân có thêm thu nhập ở nơi khác mà phần thu nhập này bình quân tháng trong năm không quá 15 triệu đồng đã được tổ chức, cá nhân chi trả thu nhập thực hiện khấu trừ thuế thu nhập cá nhân theo tỷ lệ 10% trên thu nhập quy định tại khoản 2 Điều 50 của Nghị định này thì không phải quyết toán thuế đối với phần thu nhập này.</w:t>
      </w:r>
    </w:p>
    <w:p w14:paraId="19C9FED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cá nhân lựa chọn quyết toán thuế trực tiếp với cơ quan thuế thì hệ thống thông tin quản lý thuế sẽ hỗ trợ tổng hợp tất cả các nguồn thu nhập từ tiền lương, tiền công phát sinh trong năm tính thuế và được trừ số thuế đã được tổ chức, cá nhân chi trả thu nhập thực hiện khấu trừ thuế thu nhập cá nhân trong năm tính thuế.</w:t>
      </w:r>
    </w:p>
    <w:p w14:paraId="75433B9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Trừ trường hợp quy định tại khoản 3 Điều này, người nộp thuế được ủy quyền cho tổ chức chi trả thu nhập quyết toán thuế thay trong trường hợp sau, kể cả trường hợp không làm việc đủ 12 tháng trong năm:</w:t>
      </w:r>
    </w:p>
    <w:p w14:paraId="2F5167B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Cá nhân chỉ có một nguồn thu nhập từ tiền lương, tiền công ký hợp đồng lao động từ 03 tháng trở lên phát sinh tại một tổ chức và thực tế đang làm việc tại đó vào thời điểm quyết toán thuế, kể cả trường hợp người lao động được điều chuyển từ tổ chức cũ đến tổ chức mới do tổ chức cũ thực hiện sáp nhập, hợp nhất, chia, tách, chuyển đổi loại hình doanh nghiệp hoặc tổ chức cũ và tổ chức mới trong cùng một hệ thống;</w:t>
      </w:r>
    </w:p>
    <w:p w14:paraId="6103E3B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Cá nhân chỉ có một nguồn thu nhập từ tiền lương, tiền công ký hợp đồng lao động từ 03 tháng trở lên phát sinh tại một tổ chức và thực tế đang làm việc tại đó vào thời điểm quyết toán thuế và có nguồn thu nhập khác đã thực hiện khấu trừ thuế quy định tại điểm b khoản 1 Điều này.</w:t>
      </w:r>
    </w:p>
    <w:p w14:paraId="6D43CB5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Trường hợp trong kỳ tính thuế cá nhân có đề nghị giảm thuế do thiên tai, dịch bệnh, hỏa hoạn, tai nạn, bệnh hiểm nghèo quy định tại Điều 40 của Nghị định này hoặc có phát sinh các khoản giảm trừ quy định tại Điều 49 của Nghị định này mà người nộp thuế có yêu cầu thực hiện giảm trừ vào thu nhập trước khi tính thuế thì người nộp thuế phải tự quyết toán thuế.</w:t>
      </w:r>
    </w:p>
    <w:p w14:paraId="5CDC4C47" w14:textId="77777777" w:rsidR="009166B8" w:rsidRPr="00322B1D" w:rsidRDefault="00A04B29" w:rsidP="001C36A2">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Hồ sơ, thủ tục quyết toán thuế, ủy quyền quyết toán thuế thực hiện theo quy định của pháp luật về quản lý thuế.</w:t>
      </w:r>
    </w:p>
    <w:p w14:paraId="4FBA73EA"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0A6715E4" w14:textId="77777777"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Mục 3</w:t>
      </w:r>
    </w:p>
    <w:p w14:paraId="2FBF73FE" w14:textId="4B485312"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THU NHẬP TỪ ĐẦU TƯ VỐN, CHUYỂN NHƯỢNG VỐN</w:t>
      </w:r>
    </w:p>
    <w:p w14:paraId="26183DF2"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5ED1988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52. Thuế thu nhập cá nhân đối với thu nhập từ đầu tư vốn</w:t>
      </w:r>
    </w:p>
    <w:p w14:paraId="29D5A1A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đầu tư vốn của cá nhân cư trú được xác định bằng thu nhập tính thuế nhân (x) với thuế suất 5%.</w:t>
      </w:r>
    </w:p>
    <w:p w14:paraId="03A6598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tính thuế từ đầu tư vốn là các khoản thu nhập chịu thuế từ đầu tư vốn quy định tại Điều 9 của Nghị định này mà người nộp thuế nhận được theo từng lần phát sinh.</w:t>
      </w:r>
    </w:p>
    <w:p w14:paraId="1FC496A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Thời điểm xác định thu nhập tính thuế từ đầu tư vốn là thời điểm tổ chức, cá nhân trả thu nhập cho người nộp thuế, trừ trường hợp quy định tại các khoản 4, 5 và 6 Điều này.</w:t>
      </w:r>
    </w:p>
    <w:p w14:paraId="53D4A15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Đối với trường hợp cá nhân nhận cổ tức bằng cổ phiếu, cá nhân là cổ đông hiện hữu nhận cổ phiếu phát hành từ nguồn vốn chủ sở hữu thì cá nhân chưa phải nộp thuế thu nhập cá nhân đối với thu nhập từ đầu tư vốn khi nhận cổ phiếu. Khi chuyển nhượng số cổ phiếu này, cá nhân phải nộp thuế thu nhập cá nhân đối với thu nhập từ đầu tư vốn mà tại thời điểm nhận cổ tức bằng cổ phiếu, nhận cổ phiếu phát hành từ nguồn vốn chủ sở hữu cá nhân chưa nộp thuế; đồng thời cá nhân thực hiện nộp thuế thu nhập cá nhân đối với thu nhập từ chuyển nhượng chứng khoán theo quy định. Trường hợp chuyển nhượng cổ phiếu cùng loại thì phải nộp thuế thu nhập cá nhân đối với thu nhập từ đầu tư vốn cho tới khi hết số cổ phiếu nhận thay cổ tức, cổ phiếu phát hành từ nguồn vốn chủ sở hữu.</w:t>
      </w:r>
    </w:p>
    <w:p w14:paraId="1F3E7F8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tính thuế đối với thu nhập từ đầu tư vốn đối với trường hợp cá nhân nhận cổ tức bằng cổ phiếu, cổ đông hiện hữu nhận cổ phiếu phát hành từ nguồn vốn chủ sở hữu là giá trị cổ tức ghi trên sổ sách kế toán hoặc số lượng cổ phiếu thực nhận nhân (x) với mệnh giá của cổ phiếu đó. Trường hợp giá chuyển nhượng cổ phiếu thấp hơn mệnh giá tại thời điểm chuyển nhượng thì tính thuế thu nhập cá nhân đối với hoạt động đầu tư vốn theo giá thị trường tại thời điểm chuyển nhượng.</w:t>
      </w:r>
    </w:p>
    <w:p w14:paraId="3BAFB16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Đối với thu nhập từ lợi tức ghi tăng vốn thì cá nhân chưa phải nộp thuế thu nhập cá nhân đối với thu nhập từ đầu tư vốn tại thời điểm ghi tăng vốn. Khi chuyển nhượng vốn, rút vốn, giải thể doanh nghiệp, cá nhân nộp thuế thu nhập cá nhân đối với thu nhập từ đầu tư vốn cả đối với phần giá trị ghi tăng vốn mà tại thời điểm ghi tăng vốn cá nhân chưa nộp thuế; đồng thời cá nhân phải nộp thuế thu nhập cá nhân đối với thu nhập từ chuyển nhượng vốn theo quy định.</w:t>
      </w:r>
    </w:p>
    <w:p w14:paraId="5E36190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cá nhân chuyển nhượng vốn, rút một phần vốn góp thì phải nộp thuế thu nhập cá nhân đối với thu nhập từ đầu tư vốn cho tới khi bằng giá trị lợi tức ghi tăng vốn.</w:t>
      </w:r>
    </w:p>
    <w:p w14:paraId="5C6A31F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6. Trường hợp cá nhân nhận được thu nhập do việc đầu tư vốn ra nước ngoài dưới mọi hình thức thì thời điểm xác định thu nhập tính thuế là thời điểm cá nhân nhận thu nhập.</w:t>
      </w:r>
    </w:p>
    <w:p w14:paraId="710C0BE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53. Thuế thu nhập cá nhân đối với thu nhập từ chuyển nhượng vốn</w:t>
      </w:r>
    </w:p>
    <w:p w14:paraId="76316CB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chuyển nhượng vốn của cá nhân cư trú quy định tại khoản 1 Điều 10 của Nghị định này được xác định bằng thu nhập tính thuế nhân (x) với thuế suất 20% theo từng lần chuyển nhượng. Trong đó, thu nhập tính thuế từ chuyển nhượng vốn được xác định bằng giá chuyển nhượng trừ (-) đi giá mua phần vốn chuyển nhượng và các khoản chi phí hợp lý liên quan đến việc tạo ra thu nhập từ chuyển nhượng vốn.</w:t>
      </w:r>
    </w:p>
    <w:p w14:paraId="6124938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không xác định giá mua và các chi phí liên quan đến việc chuyển nhượng vốn thì thuế thu nhập cá nhân được xác định bằng giá chuyển nhượng nhân (x) với thuế suất 2%.</w:t>
      </w:r>
    </w:p>
    <w:p w14:paraId="533D77C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Giá chuyển nhượng quy định tại khoản 1 Điều này là số tiền mà cá nhân nhận được theo hợp đồng chuyển nhượng vốn.</w:t>
      </w:r>
    </w:p>
    <w:p w14:paraId="78296BF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Một số trường hợp quy định cụ thể như sau:</w:t>
      </w:r>
    </w:p>
    <w:p w14:paraId="68204FBA" w14:textId="5307B5E1"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a) Trường hợp hợp đồng chuyển nhượng vốn quy định việc thanh toán theo hình thức trả góp, trả chậm thì giá chuyển nhượng không bao gồm lãi trả góp, lãi trả chậm theo thời hạn quy định </w:t>
      </w:r>
      <w:r w:rsidRPr="00322B1D">
        <w:rPr>
          <w:rFonts w:ascii="Times New Roman" w:hAnsi="Times New Roman" w:cs="Times New Roman"/>
          <w:color w:val="000000" w:themeColor="text1"/>
        </w:rPr>
        <w:lastRenderedPageBreak/>
        <w:t>trong hợp đồng. Khoản lãi trả góp, lãi trả chậm</w:t>
      </w:r>
      <w:r w:rsidR="008C4BCE"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nộp thuế thu nhập cá nhân đối với thu nhập từ đầu tư vốn;</w:t>
      </w:r>
    </w:p>
    <w:p w14:paraId="3A9F80C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Trường hợp hợp đồng chuyển nhượng không quy định giá thanh toán hoặc cơ quan thuế có cơ sở để xác định giá thanh toán không phù hợp với giá giao dịch phổ biến trên thị trường, cơ quan thuế có quyền kiểm tra và ấn định giá chuyển nhượng theo quy định của pháp luật về quản lý thuế.</w:t>
      </w:r>
    </w:p>
    <w:p w14:paraId="141CA6A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Giá mua của phần vốn chuyển nhượng quy định tại khoản 1 Điều này là trị giá phần vốn góp tại thời điểm chuyển nhượng vốn được xác định bằng tổng trị giá phần vốn góp ban đầu và các lần góp hoặc mua bổ sung.</w:t>
      </w:r>
    </w:p>
    <w:p w14:paraId="2A31B29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Một số trường hợp quy định cụ thể như sau:</w:t>
      </w:r>
    </w:p>
    <w:p w14:paraId="4F9C98C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Trường hợp là vốn góp thì giá mua là giá trị phần vốn góp lũy kế đến thời điểm chuyển nhượng vốn trên cơ sở sổ sách kế toán, hóa đơn, chứng từ;</w:t>
      </w:r>
    </w:p>
    <w:p w14:paraId="459EE3C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Trường hợp là phần vốn do mua lại thì giá mua là giá trị vốn tại thời điểm mua. Giá mua được xác định căn cứ vào hợp đồng mua lại phần vốn góp, chứng từ thanh toán.</w:t>
      </w:r>
    </w:p>
    <w:p w14:paraId="7B9584C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Chi phí hợp lý liên quan đến việc tạo ra thu nhập từ chuyển nhượng vốn là các khoản chi phí thực tế phát sinh có chứng từ, hóa đơn hợp pháp, bao gồm:</w:t>
      </w:r>
    </w:p>
    <w:p w14:paraId="3213188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Chi phí làm các thủ tục pháp lý cần thiết cho việc chuyển nhượng;</w:t>
      </w:r>
    </w:p>
    <w:p w14:paraId="21A0342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Các khoản phí và lệ phí người chuyển nhượng nộp ngân sách nhà nước theo quy định của pháp luật;</w:t>
      </w:r>
    </w:p>
    <w:p w14:paraId="19FE935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Các khoản chi phí khác có chứng từ chứng minh.</w:t>
      </w:r>
    </w:p>
    <w:p w14:paraId="5667472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chi phí chuyển nhượng phát sinh ở nước ngoài thì các chứng từ gốc đó phải được một cơ quan công chứng hoặc kiểm toán độc lập của nước có chi phí phát sinh xác nhận và chứng từ phải được dịch ra tiếng Việt.</w:t>
      </w:r>
    </w:p>
    <w:p w14:paraId="53214EC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Thời điểm xác định thu nhập tính thuế là thời điểm giao dịch hoàn thành theo quy định của pháp luật hoặc thời điểm làm thủ tục thay đổi danh sách thành viên góp vốn, trừ trường hợp quy định tại khoản 6 Điều này.</w:t>
      </w:r>
    </w:p>
    <w:p w14:paraId="3FD7F73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6. Cá nhân góp vốn bằng phần vốn góp chưa phải nộp thuế từ chuyển nhượng vốn khi góp vốn. Khi chuyển nhượng vốn, rút vốn, giải thể doanh nghiệp thì cá nhân phải nộp thuế thu nhập cá nhân đối với thu nhập từ chuyển nhượng vốn đối với phần vốn góp mà tại thời điểm góp vốn cá nhân chưa phải nộp thuế; đồng thời cá nhân thực hiện nộp thuế đối với thu nhập từ chuyển nhượng vốn hoặc thu nhập từ đầu tư vốn (trong trường hợp rút vốn, giải thể doanh nghiệp) theo quy định.</w:t>
      </w:r>
    </w:p>
    <w:p w14:paraId="5B32F6E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tính thuế đối với chuyển nhượng phần vốn góp khi góp vốn là giá trị phần vốn được xác định theo hợp đồng góp vốn tại thời điểm góp vốn. Trường hợp cá nhân chuyển nhượng, rút một phần vốn góp thì phải nộp thuế thu nhập cá nhân đối với thu nhập từ chuyển nhượng vốn cho tới khi bằng giá trị phần vốn góp này.</w:t>
      </w:r>
    </w:p>
    <w:p w14:paraId="4D36EF8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54. Thuế thu nhập cá nhân đối với thu nhập từ chuyển nhượng chứng khoán</w:t>
      </w:r>
    </w:p>
    <w:p w14:paraId="4F9018A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chuyển nhượng chứng khoán quy định tại khoản 2 Điều 10 của Nghị định này được xác định bằng giá chuyển nhượng nhân (x) với thuế suất 0,1% theo từng lần chuyển nhượng.</w:t>
      </w:r>
    </w:p>
    <w:p w14:paraId="660EE69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Giá chuyển nhượng được xác định như sau:</w:t>
      </w:r>
    </w:p>
    <w:p w14:paraId="64B0BE2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Đối với chứng khoán niêm yết, đăng ký giao dịch tại Sở Giao dịch chứng khoán là giá thực tế bán chứng khoán (là giá khớp lệnh hoặc giá thỏa thuận) theo thông báo của Sở Giao dịch chứng khoán;</w:t>
      </w:r>
    </w:p>
    <w:p w14:paraId="6B7B470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Đối với chứng khoán không thuộc trường hợp quy định tại điểm a khoản này là giá ghi trên hợp đồng chuyển nhượng hoặc giá thực tế chuyển nhượng hoặc giá theo sổ sách kế toán của đơn vị có chứng khoán chuyển nhượng tại thời điểm lập báo cáo tài chính gần nhất theo quy định của pháp luật về kế toán trước thời điểm chuyển nhượng.</w:t>
      </w:r>
    </w:p>
    <w:p w14:paraId="7360396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3. Thời điểm xác định thu nhập tính thuế là thời điểm giao dịch hoàn thành theo quy định của pháp luật, trừ quy định tại khoản 4 Điều này, cụ thể như sau:</w:t>
      </w:r>
    </w:p>
    <w:p w14:paraId="4D87BD7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Đối với chứng khoán niêm yết, đăng ký giao dịch tại Sở Giao dịch chứng khoán là thời điểm người nộp thuế nhận thu nhập từ chuyển nhượng chứng khoán;</w:t>
      </w:r>
    </w:p>
    <w:p w14:paraId="6B7CB1A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Đối với chứng khoán của công ty đại chúng không thực hiện giao dịch trên Sở Giao dịch chứng khoán và chỉ thực hiện chuyển quyền sở hữu qua hệ thống chuyển quyền của Tổng công ty Lưu ký và Bù trừ chứng khoán Việt Nam là thời điểm chuyển quyền sở hữu chứng khoán tại Tổng công ty Lưu ký và Bù trừ chứng khoán Việt Nam;</w:t>
      </w:r>
    </w:p>
    <w:p w14:paraId="29B9618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Đối với chứng khoán không thuộc trường hợp nêu trên là thời điểm hợp đồng chuyển nhượng chứng khoán có hiệu lực.</w:t>
      </w:r>
    </w:p>
    <w:p w14:paraId="47DFB26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Cá nhân góp vốn bằng chứng khoán chưa phải khai và nộp thuế từ chuyển nhượng chứng khoán khi góp vốn. Khi cá nhân chuyển nhượng vốn, rút vốn, giải thể doanh nghiệp thì cá nhân phải nộp thuế thu nhập cá nhân đối với thu nhập từ chuyển nhượng chứng khoán của cá nhân khi góp vốn; đồng thời cá nhân thực hiện nộp thuế đối với thu nhập từ chuyển nhượng vốn hoặc thu nhập từ đầu tư vốn (trong trường hợp rút vốn, giải thể doanh nghiệp) theo quy định.</w:t>
      </w:r>
    </w:p>
    <w:p w14:paraId="6BCB763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tính thuế đối với chuyển nhượng chứng khoán khi góp vốn là giá trị chứng khoán được xác định theo hợp đồng góp vốn tại thời điểm góp vốn. Trường hợp cá nhân chuyển nhượng, rút một phần vốn góp thì phải nộp thuế thu nhập cá nhân đối với thu nhập từ chuyển nhượng chứng khoán cho tới khi bằng giá trị phần vốn góp bằng chứng khoán này.</w:t>
      </w:r>
    </w:p>
    <w:p w14:paraId="7782747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Việc xác định thu nhập từ chuyển nhượng chứng khoán phái sinh theo quy định của pháp luật về chứng khoán và pháp luật khác có liên quan. Bộ trưởng Bộ Tài chính quy định về thuế thu nhập cá nhân đối với thu nhập từ chuyển nhượng chứng khoán phái sinh.</w:t>
      </w:r>
    </w:p>
    <w:p w14:paraId="62BBEA4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55. Khấu trừ thuế, khai thuế thay, nộp thuế thay đối với thu nhập từ đầu tư vốn</w:t>
      </w:r>
    </w:p>
    <w:p w14:paraId="5E16896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Tổ chức, cá nhân trả thu nhập từ đầu tư vốn theo quy định tại Điều 52 của Nghị định này có trách nhiệm khấu trừ thuế thu nhập cá nhân trước khi trả thu nhập cho cá nhân, trừ trường hợp quy định tại khoản 2 Điều này.</w:t>
      </w:r>
    </w:p>
    <w:p w14:paraId="21A2A47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Đối với trường hợp cá nhân nhận cổ tức bằng cổ phiếu, cá nhân là cổ đông hiện hữu nhận cổ phiếu phát hành từ nguồn vốn chủ sở hữu quy định tại khoản 4 Điều 52 của Nghị định này thì tổ chức quy định tại khoản 4 Điều này phải khai thuế thay, nộp thuế thay cho cá nhân đối với thu nhập từ đầu tư vốn khi cá nhân chuyển nhượng chứng khoán cùng loại. Trường hợp tổ chức khai thuế thay, nộp thuế thay đã giải thể, phá sản mà chưa thực hiện khai thuế thay, nộp thuế thay cho cá nhân thì cá nhân có trách nhiệm khai thuế, nộp thuế theo quy định.</w:t>
      </w:r>
    </w:p>
    <w:p w14:paraId="778D285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Đối với cá nhân được ghi nhận phần vốn tăng thêm thì tổ chức nơi cá nhân có vốn góp có trách nhiệm khai thuế thay, nộp thuế thay cho cá nhân đối với thu nhập từ đầu tư vốn khi cá nhân chuyển nhượng vốn, rút vốn, giải thể doanh nghiệp. Trường hợp tổ chức khai thuế thay, nộp thuế thay đã giải thể, phá sản mà chưa thực hiện khai thuế thay, nộp thuế thay cho cá nhân thì cá nhân có trách nhiệm khai thuế, nộp thuế theo quy định.</w:t>
      </w:r>
    </w:p>
    <w:p w14:paraId="7D51CF7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Tổ chức khai thuế thay, nộp thuế thay quy định tại khoản 2 Điều này cụ thể như sau:</w:t>
      </w:r>
    </w:p>
    <w:p w14:paraId="4691399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Đối với chứng khoán giao dịch thông qua hệ thống giao dịch trên Sở Giao dịch chứng khoán thì tổ chức khai thuế thay, nộp thuế thay là công ty chứng khoán, ngân hàng thương mại nơi cá nhân mở tài khoản lưu ký, công ty quản lý quỹ nơi cá nhân ủy thác danh mục đầu tư;</w:t>
      </w:r>
    </w:p>
    <w:p w14:paraId="4C5B073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b) Đối với chứng khoán không thông qua hệ thống giao dịch trên Sở Giao dịch chứng khoán thì tổ chức khai thuế thay, nộp thuế thay như sau: chứng khoán của công ty đại chúng đã đăng ký chứng khoán tập trung tại Tổng công ty Lưu ký và Bù trừ chứng khoán Việt Nam thì tổ chức khai thuế thay, nộp thuế thay là công ty chứng khoán, ngân hàng thương mại nơi cá nhân mở tài khoản lưu ký chứng khoán; chứng khoán của công ty cổ phần chưa là công ty đại chúng nhưng tổ chức phát hành chứng khoán ủy quyền cho công ty chứng khoán quản lý danh sách cổ đông thì tổ chức khai thuế thay, nộp thuế thay là công ty chứng khoán được ủy quyền quản lý danh sách cổ đông; </w:t>
      </w:r>
      <w:r w:rsidRPr="00322B1D">
        <w:rPr>
          <w:rFonts w:ascii="Times New Roman" w:hAnsi="Times New Roman" w:cs="Times New Roman"/>
          <w:color w:val="000000" w:themeColor="text1"/>
        </w:rPr>
        <w:lastRenderedPageBreak/>
        <w:t>chứng khoán không thuộc trường hợp quy định nêu tại điểm này thì tổ chức khai thuế thay, nộp thuế thay là tổ chức phát hành chứng khoán.</w:t>
      </w:r>
    </w:p>
    <w:p w14:paraId="5B31572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Hồ sơ, thủ tục khấu trừ thuế, khai thuế thay, nộp thuế thay theo quy định của pháp luật về quản lý thuế.</w:t>
      </w:r>
    </w:p>
    <w:p w14:paraId="0EEA0CA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56. Khấu trừ thuế, khai thuế thay, nộp thuế thay đối với thu nhập từ chuyển nhượng vốn, chuyển nhượng chứng khoán</w:t>
      </w:r>
    </w:p>
    <w:p w14:paraId="43F50C9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Cá nhân có thu nhập từ chuyển nhượng vốn quy định tại Điều 53 của Nghị định này thực hiện kê khai, nộp thuế theo quy định, trừ trường hợp quy định tại khoản 5 Điều này.</w:t>
      </w:r>
    </w:p>
    <w:p w14:paraId="2AF091C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Đối với thu nhập từ chuyển nhượng chứng khoán quy định tại Điều 54 của Nghị định này thì các tổ chức quy định tại khoản 4 Điều này phải thực hiện khấu trừ thuế và nộp số thuế đã khấu trừ theo thuế suất 0,1% trên giá chuyển nhượng.</w:t>
      </w:r>
    </w:p>
    <w:p w14:paraId="6A14B35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Đối với các trường hợp góp vốn bằng phần vốn góp, góp vốn bằng chứng khoán thì tổ chức nhận vốn góp có trách nhiệm khai thuế thay, nộp thuế thay cho cá nhân đối với thu nhập từ chuyển nhượng vốn, chuyển nhượng chứng khoán khi cá nhân chuyển nhượng vốn, rút vốn, giải thể doanh nghiệp. Trường hợp tổ chức khai thuế thay, nộp thuế thay đã giải thể, phá sản mà chưa thực hiện khai thuế thay, nộp thuế thay cho cá nhân thì cá nhân có trách nhiệm khai thuế, nộp thuế theo quy định.</w:t>
      </w:r>
    </w:p>
    <w:p w14:paraId="372FFD3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Tổ chức khấu trừ thuế</w:t>
      </w:r>
    </w:p>
    <w:p w14:paraId="4712428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Đối với chứng khoán giao dịch thông qua hệ thống giao dịch trên Sở Giao dịch chứng khoán thì tổ chức khấu trừ thuế và nộp số thuế đã khấu trừ là công ty chứng khoán, ngân hàng thương mại nơi cá nhân mở tài khoản lưu ký, công ty quản lý quỹ nơi cá nhân ủy thác danh mục đầu tư;</w:t>
      </w:r>
    </w:p>
    <w:p w14:paraId="228F388B" w14:textId="52F6B5C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b) Đối với chứng khoán không thông qua hệ thống giao dịch trên Sở Giao dịch chứng khoán: chứng khoán của công ty đại chúng đã đăng ký chứng khoán tập trung tại Tổng công ty </w:t>
      </w:r>
      <w:r w:rsidR="008C4BCE" w:rsidRPr="00322B1D">
        <w:rPr>
          <w:rFonts w:ascii="Times New Roman" w:hAnsi="Times New Roman" w:cs="Times New Roman"/>
          <w:color w:val="000000" w:themeColor="text1"/>
        </w:rPr>
        <w:t>l</w:t>
      </w:r>
      <w:r w:rsidRPr="00322B1D">
        <w:rPr>
          <w:rFonts w:ascii="Times New Roman" w:hAnsi="Times New Roman" w:cs="Times New Roman"/>
          <w:color w:val="000000" w:themeColor="text1"/>
        </w:rPr>
        <w:t>ưu ký và Bù trừ chứng khoán Việt Nam thì tổ chức khấu trừ thuế và nộp số thuế đã khấu trừ là công ty chứng khoán, ngân hàng thương mại nơi cá nhân mở tài khoản lưu ký chứng khoán; chứng khoán của công ty cổ phần chưa là công ty đại chúng nhưng tổ chức phát hành chứng khoán ủy quyền cho công ty chứng khoán quản lý danh sách cổ đông thì tổ chức khấu trừ thuế và nộp số thuế đã khấu trừ là công ty chứng khoán được ủy quyền quản lý danh sách cổ đông; chứng khoán không thuộc trường hợp quy định nêu tại điểm này thì cá nhân chuyển nhượng chứng khoán trực tiếp khai thuế với cơ quan thuế.</w:t>
      </w:r>
    </w:p>
    <w:p w14:paraId="6B78FDD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Cá nhân hoàn thành nghĩa vụ thuế đối với phần vốn đã chuyển nhượng trước khi làm thủ tục thay đổi danh sách thành viên góp vốn hoặc danh sách cổ đông tại doanh nghiệp nơi cá nhân chuyển nhượng vốn. Trường hợp doanh nghiệp thực hiện thủ tục thay đổi danh sách thành viên góp vốn hoặc danh sách cổ đông trong trường hợp chuyển nhượng vốn mà cá nhân chưa hoàn thành nghĩa vụ thuế thì doanh nghiệp nơi cá nhân chuyển nhượng vốn khai thuế thay, nộp thuế thay cho các cá nhân này.</w:t>
      </w:r>
    </w:p>
    <w:p w14:paraId="1BB01188" w14:textId="77777777" w:rsidR="009166B8" w:rsidRPr="00322B1D" w:rsidRDefault="00A04B29" w:rsidP="001C36A2">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6. Hồ sơ, thủ tục khấu trừ thuế, khai thuế thay, nộp thuế thay theo quy định của pháp luật về quản lý thuế.</w:t>
      </w:r>
    </w:p>
    <w:p w14:paraId="13BFB58F"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4C9D46D4" w14:textId="77777777"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Mục 4</w:t>
      </w:r>
    </w:p>
    <w:p w14:paraId="6FAAC265" w14:textId="6F983BF2"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 xml:space="preserve">THU NHẬP TỪ CHUYỂN NHƯỢNG BẤT ĐỘNG SẢN, TRÚNG </w:t>
      </w:r>
      <w:r w:rsidR="001C36A2"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 xml:space="preserve">THƯỞNG, TIỀN BẢN QUYỀN, NHƯỢNG QUYỀN THƯƠNG MẠI, </w:t>
      </w:r>
      <w:r w:rsidR="001C36A2"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NHẬN THỪA KẾ, QUÀ TẶNG VÀ THU NHẬP KHÁC</w:t>
      </w:r>
    </w:p>
    <w:p w14:paraId="208033E1"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04F08C9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57. Thuế thu nhập cá nhân đối với thu nhập từ chuyển nhượng bất động sản</w:t>
      </w:r>
    </w:p>
    <w:p w14:paraId="1B4D2B2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chuyển nhượng bất động sản của cá nhân cư trú được xác định bằng giá chuyển nhượng nhân (x) với thuế suất 2%. Trong đó, giá chuyển nhượng bất động sản là giá ghi trên hợp đồng chuyển nhượng tại thời điểm chuyển nhượng.</w:t>
      </w:r>
    </w:p>
    <w:p w14:paraId="7A7C816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2. Đối với trường hợp chuyển nhượng bất động sản là quyền sử dụng đất mà trên hợp đồng chuyển nhượng không ghi giá đất hoặc giá đất trên hợp đồng chuyển nhượng thấp hơn giá tính theo bảng giá đất, hệ số điều chỉnh giá đất (nếu có) theo quy định của pháp luật về đất đai tại thời điểm xác định thu nhập tính thuế thì giá chuyển nhượng đất là giá đất theo bảng giá đất, hệ số điều chỉnh giá đất (nếu có) theo quy định của pháp luật về đất đai.</w:t>
      </w:r>
    </w:p>
    <w:p w14:paraId="157C51C3" w14:textId="28470C5C"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3. Đối với trường hợp chuyển nhượng quyền sử dụng đất và tài sản gắn liền với đất (bao gồm nhà, kết cấu hạ tầng và công trình kiến trúc) mà trên hợp đồng chuyển nhượng không ghi giá đất, tài sản gắn liền với đất hoặc giá đất trên hợp đồng chuyển nhượng thấp hơn giá tính theo bảng giá đất, hệ số điều chỉnh giá đất (nếu có) theo pháp luật về đất đai, phần giá trị nhà, kết cấu hạ tầng và công trình kiến trúc gắn liền với đất thấp hơn giá tính lệ phí trước bạ nhà do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cấp tỉnh quy định tại thời điểm xác định thu nhập tính thuế thì:</w:t>
      </w:r>
    </w:p>
    <w:p w14:paraId="5D59727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Phần giá trị quyền sử dụng đất xác định theo quy định tại khoản 2 Điều này nếu trên hợp đồng chuyển nhượng không ghi giá đất hoặc giá đất trên hợp đồng chuyển nhượng thấp hơn giá tính theo bảng giá đất, hệ số điều chỉnh giá đất (nếu có) theo pháp luật về đất đai;</w:t>
      </w:r>
    </w:p>
    <w:p w14:paraId="4B8A1EA5" w14:textId="594C8FFC"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b) Phần giá trị nhà, kết cấu hạ tầng và công trình kiến trúc gắn liền với đất được xác định căn cứ theo giá tính lệ phí trước bạ nhà do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cấp tỉnh quy định. Trường hợp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cấp tỉnh không có quy định giá tính lệ phí trước bạ nhà thì căn cứ vào quy định của Bộ Xây dựng về phân loại nhà, về tiêu chuẩn, định mức xây dựng cơ bản, về giá trị còn lại thực tế của công trình trên đất.</w:t>
      </w:r>
    </w:p>
    <w:p w14:paraId="0CC675BD" w14:textId="2170A246"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Đối với công trình xây dựng hình thành trong tương lai thì được xác định căn cứ vào tỷ lệ góp vốn trên tổng giá trị hợp đồng nhân (x) với giá tính lệ phí trước bạ công trình xây dựng do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cấp tỉnh quy định. Trường hợp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cấp tỉnh chưa có quy định về đơn giá thì áp dụng theo suất vốn đầu tư xây dựng công trình do Bộ Xây dựng công bố, đang áp dụng tại thời điểm nộp hồ sơ khai thuế với cơ quan thuế.</w:t>
      </w:r>
    </w:p>
    <w:p w14:paraId="349F8650" w14:textId="5E2846B4"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4. Trường hợp cho thuê lại mà đơn giá cho thuê lại trên hợp đồng thấp hơn đơn giá thuê đất tính theo giá đất tại bảng giá đất do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cấp tỉnh quy định nhân (x) với hệ số điều chỉnh giá đất (nếu có) theo quy định của pháp luật về đất đai tại thời điểm cho thuê lại thì đơn giá cho thuê lại được xác định căn cứ theo giá đất tại bảng giá đất do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cấp tỉnh quy định và hệ số điều chỉnh giá đất (nếu có).</w:t>
      </w:r>
    </w:p>
    <w:p w14:paraId="66F07CC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Thời điểm xác định thu nhập tính thuế từ chuyển nhượng bất động sản được xác định như sau:</w:t>
      </w:r>
    </w:p>
    <w:p w14:paraId="32F0F18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Trường hợp hợp đồng chuyển nhượng không có thỏa thuận bên mua là người nộp thuế thay cho bên bán thì thời điểm xác định thu nhập tính thuế là thời điểm hợp đồng chuyển nhượng có hiệu lực theo quy định của pháp luật;</w:t>
      </w:r>
    </w:p>
    <w:p w14:paraId="606FC50D" w14:textId="56C3A79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Trường hợp hợp đồng chuyển nhượng có thỏa thuận bên mua là người nộp thuế thay cho bên bán thì thời điểm xác định thu nhập tính thuế là thời điểm làm thủ tục đăng ký quyền sử dụng</w:t>
      </w:r>
      <w:r w:rsidR="00427C6F"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quyền sở hữu bất động sản;</w:t>
      </w:r>
    </w:p>
    <w:p w14:paraId="3AE7763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Trường hợp cá nhân nhận chuyển nhượng nhà ở hình thành trong tương lai, quyền sử dụng đất gắn với công trình xây dựng tương lai thì thời điểm xác định thu nhập tính thuế là thời điểm cá nhân nộp hồ sơ khai thuế với cơ quan thuế;</w:t>
      </w:r>
    </w:p>
    <w:p w14:paraId="5CAEE46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d) Cá nhân góp vốn bằng bất động sản chưa phải khai và nộp thuế từ chuyển nhượng khi góp vốn. Khi chuyển nhượng vốn, rút vốn, giải thể doanh nghiệp thì tổ chức nhận vốn góp khai thuế thay, nộp thuế thay đối với thu nhập từ chuyển nhượng bất động sản của cá nhân khi góp vốn; đồng thời cá nhân thực hiện nộp thuế đối với thu nhập từ chuyển nhượng vốn hoặc thu nhập từ đầu tư vốn (trong trường hợp rút vốn, giải thể doanh nghiệp) theo quy định.</w:t>
      </w:r>
    </w:p>
    <w:p w14:paraId="3C7E68F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tính thuế đối với chuyển nhượng bất động sản khi góp vốn là giá trị phần vốn được xác định theo hợp đồng góp vốn tại thời điểm góp vốn. Trường hợp cá nhân chuyển nhượng, rút một phần vốn góp thì phải nộp thuế thu nhập cá nhân đối với thu nhập từ chuyển nhượng bất động sản cho tới khi bằng giá trị góp vốn bằng bất động sản này.</w:t>
      </w:r>
    </w:p>
    <w:p w14:paraId="588DA21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Trường hợp tổ chức khai thuế thay, nộp thuế thay theo quy định tại điểm này đã giải thể, phá sản mà chưa thực hiện khai thuế thay, nộp thuế thay cho cá nhân thì cá nhân có trách nhiệm khai thuế, nộp thuế theo quy định.</w:t>
      </w:r>
    </w:p>
    <w:p w14:paraId="4C9169A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6. Một số trường hợp cụ thể như sau:</w:t>
      </w:r>
    </w:p>
    <w:p w14:paraId="018F4F8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Trường hợp chuyển nhượng bất động sản là đồng sở hữu thì nghĩa vụ thuế được xác định riêng cho từng người nộp thuế theo tỷ lệ sở hữu bất động sản. Căn cứ xác định tỷ lệ sở hữu là tài liệu hợp pháp như: thỏa thuận góp vốn ban đầu, di chúc, quyết định phân chia của tòa án hoặc các tài liệu hợp pháp khác. Trường hợp không có tài liệu hợp pháp thì nghĩa vụ thuế của từng người nộp thuế được xác định theo tỷ lệ bình quân. Các cá nhân đồng sở hữu bất động sản được ủy quyền cho một cá nhân đại diện nộp thuế đối với thu nhập từ chuyển nhượng bất động sản;</w:t>
      </w:r>
    </w:p>
    <w:p w14:paraId="71EB1E1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Đối với hoạt động ủy quyền mà người nhận ủy quyền có đầy đủ nội dung như quyền sở hữu đối với bất động sản theo quy định của pháp luật về dân sự thì người nộp thuế là cá nhân ủy quyền.</w:t>
      </w:r>
    </w:p>
    <w:p w14:paraId="63EF85E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Đối với các hình thức ủy quyền chuyển nhượng bất động sản mà người nhận ủy quyền chỉ nhận thù lao, không có đầy đủ nội dung như quyền sở hữu đối với bất động sản theo quy định của pháp luật về dân sự thì thực hiện nộp thuế theo quy định tại Điều 8 của Nghị định này;</w:t>
      </w:r>
    </w:p>
    <w:p w14:paraId="76F17B15" w14:textId="22D0F215"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Trường hợp cá nhân có quyền sử dụng đất, quyền sở hữu nhà nhưng được dùng để bảo đảm thực hiện nghĩa vụ tại tổ chức tín dụng, chi nhánh ngân hàng nước ngoài; đến hết thời hạn trả nợ, cá nhân không có khả năng trả nợ thì tổ chức tín dụng, chi nhánh ngân hàng nước ngoài làm thủ tục xử lý tài sản bảo đảm đó đồng thời thực hiện khai thuế thay, nộp thuế thay cho cá nhân trước khi thực hiện thanh</w:t>
      </w:r>
      <w:r w:rsidR="00427C6F" w:rsidRPr="00322B1D">
        <w:rPr>
          <w:rFonts w:ascii="Times New Roman" w:hAnsi="Times New Roman" w:cs="Times New Roman"/>
          <w:color w:val="000000" w:themeColor="text1"/>
        </w:rPr>
        <w:t xml:space="preserve"> quyết</w:t>
      </w:r>
      <w:r w:rsidRPr="00322B1D">
        <w:rPr>
          <w:rFonts w:ascii="Times New Roman" w:hAnsi="Times New Roman" w:cs="Times New Roman"/>
          <w:color w:val="000000" w:themeColor="text1"/>
        </w:rPr>
        <w:t xml:space="preserve"> toán các khoản nợ của cá nhân;</w:t>
      </w:r>
    </w:p>
    <w:p w14:paraId="290BD85B" w14:textId="3F64576E"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d) Trường hợp cá nhân có quyền sử dụng đất, quyền sở hữu nhà nhưng đem thế chấp để vay vốn hoặc thanh toán với tổ chức cá nhân khác, nay thực hiện chuyển nhượng toàn bộ (hoặc một phần) bất động sản đó để thanh toán nợ thì cá nhân có quyền sử dụng đất, quyền sở hữu nhà phải khai thuế, nộp thuế thu nhập cá nhân hoặc tổ chức, cá nhân làm thủ tục chuyển nhượng thay phải khai thuế thay, nộp thuế thay cho cá nhân trước khi thanh </w:t>
      </w:r>
      <w:r w:rsidR="00427C6F" w:rsidRPr="00322B1D">
        <w:rPr>
          <w:rFonts w:ascii="Times New Roman" w:hAnsi="Times New Roman" w:cs="Times New Roman"/>
          <w:color w:val="000000" w:themeColor="text1"/>
        </w:rPr>
        <w:t xml:space="preserve">quyết </w:t>
      </w:r>
      <w:r w:rsidRPr="00322B1D">
        <w:rPr>
          <w:rFonts w:ascii="Times New Roman" w:hAnsi="Times New Roman" w:cs="Times New Roman"/>
          <w:color w:val="000000" w:themeColor="text1"/>
        </w:rPr>
        <w:t>toán các khoản nợ;</w:t>
      </w:r>
    </w:p>
    <w:p w14:paraId="4677DB1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 Trường hợp bất động sản do cá nhân chuyển nhượng cho tổ chức, cá nhân khác theo quyết định thi hành án của Tòa án thì cá nhân chuyển nhượng phải khai, nộp thuế hoặc tổ chức, cá nhân tổ chức bán đấu giá phải khai thuế thay, nộp thuế thay cho cá nhân chuyển nhượng. Riêng đối với bất động sản của cá nhân bị cơ quan Nhà nước có thẩm quyền thực hiện tịch thu, bán đấu giá nộp vào ngân sách nhà nước theo quy định của pháp luật thì không phải khai, nộp thuế thu nhập cá nhân;</w:t>
      </w:r>
    </w:p>
    <w:p w14:paraId="7F1E19B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e) Trường hợp chuyển đổi nhà, đất cho nhau giữa các cá nhân không thuộc các trường hợp chuyển đổi đất nông nghiệp để sản xuất thuộc đối tượng được miễn thuế thu nhập cá nhân theo quy định tại Điều 23 của Nghị định này thì các cá nhân chuyển đổi nhà, đất phải khai thuế, nộp thuế thu nhập cá nhân.</w:t>
      </w:r>
    </w:p>
    <w:p w14:paraId="40CD591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58. Thuế thu nhập cá nhân đối với thu nhập từ trúng thưởng</w:t>
      </w:r>
    </w:p>
    <w:p w14:paraId="20DEEE6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trúng thưởng của cá nhân cư trú được xác định bằng thu nhập tính thuế nhân (x) với thuế suất 10%.</w:t>
      </w:r>
    </w:p>
    <w:p w14:paraId="236D416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tính thuế từ trúng thưởng là phần giá trị trúng thưởng vượt trên 20 triệu đồng mà người nộp thuế nhận được theo từng lần phát sinh không phụ thuộc vào số lần nhận thưởng.</w:t>
      </w:r>
    </w:p>
    <w:p w14:paraId="3173180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Thời điểm xác định thu nhập tính thuế</w:t>
      </w:r>
    </w:p>
    <w:p w14:paraId="276CEDC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Thời điểm xác định thu nhập tính thuế đối với thu nhập từ trúng thưởng là thời điểm tổ chức, cá nhân trả thưởng cho người trúng thưởng.</w:t>
      </w:r>
    </w:p>
    <w:p w14:paraId="18EAB81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Một số trường hợp cụ thể như sau:</w:t>
      </w:r>
    </w:p>
    <w:p w14:paraId="7FA5518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a) Trường hợp một giải thưởng nhưng có nhiều người trúng giải thì thu nhập tính thuế được phân chia cho từng người nhận giải thưởng. Người được trúng giải phải xuất trình các căn cứ pháp lý chứng minh. Trường hợp không có căn cứ pháp lý chứng minh thì thu nhập trúng thưởng tính cho </w:t>
      </w:r>
      <w:r w:rsidRPr="00322B1D">
        <w:rPr>
          <w:rFonts w:ascii="Times New Roman" w:hAnsi="Times New Roman" w:cs="Times New Roman"/>
          <w:color w:val="000000" w:themeColor="text1"/>
        </w:rPr>
        <w:lastRenderedPageBreak/>
        <w:t>một cá nhân. Trường hợp cá nhân trúng nhiều giải thưởng trong một cuộc chơi thì thu nhập tính thuế được tính trên tổng giá trị của các giải thưởng;</w:t>
      </w:r>
    </w:p>
    <w:p w14:paraId="0435759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Đối với trúng thưởng xổ số là toàn bộ giá trị tiền thưởng vượt trên 20 triệu đồng trên 01 vé xổ số nhận được trong một đợt quay thưởng;</w:t>
      </w:r>
    </w:p>
    <w:p w14:paraId="11ED221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Đối với trúng thưởng khuyến mại bằng hiện vật là giá trị của sản phẩm khuyến mại vượt trên 20 triệu đồng được quy đổi thành tiền theo giá thị trường tại thời điểm nhận thưởng;</w:t>
      </w:r>
    </w:p>
    <w:p w14:paraId="51406B1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d) Đối với trúng thưởng trong các hình thức đặt cược là toàn bộ giá trị giải thưởng vượt trên 20 triệu đồng mà người tham gia nhận được.</w:t>
      </w:r>
    </w:p>
    <w:p w14:paraId="2F5A5DA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59. Thuế thu nhập cá nhân đối với thu nhập từ tiền bản quyền</w:t>
      </w:r>
    </w:p>
    <w:p w14:paraId="38C79DE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tiền bản quyền của cá nhân cư trú được xác định bằng thu nhập tính thuế nhân (x) với thuế suất 5%.</w:t>
      </w:r>
    </w:p>
    <w:p w14:paraId="5D0125F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tính thuế từ tiền bản quyền là phần thu nhập vượt trên 20 triệu đồng theo hợp đồng mà người nộp thuế nhận được theo từng lần phát sinh không phụ thuộc vào số lần thanh toán hoặc số lần nhận tiền mà người nộp thuế nhận được. Trường hợp cùng là một đối tượng của quyền sở hữu trí tuệ, chuyển giao công nghệ nhưng hợp đồng chuyển nhượng, chuyển giao, chuyển quyền sử dụng thực hiện làm nhiều hợp đồng với cùng một đối tượng sử dụng thì thu nhập tính thuế là phần thu nhập vượt trên 20 triệu đồng tính trên tổng các hợp đồng chuyển nhượng, chuyển giao, chuyển quyền sử dụng.</w:t>
      </w:r>
    </w:p>
    <w:p w14:paraId="101980E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đối tượng chuyển giao, chuyển nhượng, chuyển quyền là đồng sở hữu thì thu nhập tính thuế được phân chia cho từng cá nhân sở hữu. Tỷ lệ phân chia được căn cứ theo giấy chứng nhận quyền sở hữu hoặc quyền sử dụng của cơ quan nhà nước có thẩm quyền.</w:t>
      </w:r>
    </w:p>
    <w:p w14:paraId="3D728BB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Thời điểm xác định thu nhập tính thuế</w:t>
      </w:r>
    </w:p>
    <w:p w14:paraId="6E6699A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Thời điểm xác định thu nhập tính thuế từ tiền bản quyền là thời điểm tổ chức, cá nhân trả tiền bản quyền cho người nộp thuế.</w:t>
      </w:r>
    </w:p>
    <w:p w14:paraId="7120D7D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60. Thuế thu nhập cá nhân đối với thu nhập từ nhượng quyền thương mại</w:t>
      </w:r>
    </w:p>
    <w:p w14:paraId="1405DE1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nhượng quyền thương mại của cá nhân cư trú được xác định bằng thu nhập tính thuế nhân (x) với thuế suất 10%.</w:t>
      </w:r>
    </w:p>
    <w:p w14:paraId="40255FE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tính thuế từ nhượng quyền thương mại là phần thu nhập vượt trên 20 triệu đồng theo hợp đồng mà người nộp thuế nhận được theo từng lần phát sinh không phụ thuộc vào số lần thanh toán hoặc số lần nhận tiền mà người nộp thuế nhận được. Trường hợp cùng là một đối tượng của quyền thương mại nhưng việc chuyển nhượng thực hiện thành nhiều hợp đồng thì thu nhập tính thuế là phần vượt trên 20 triệu đồng tính trên tổng các hợp đồng nhượng quyền thương mại.</w:t>
      </w:r>
    </w:p>
    <w:p w14:paraId="74DE364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cá nhân nhượng quyền thương mại theo quy định của Luật Thương mại mà đối tượng nhượng quyền thương mại là nhiều cá nhân tham gia nhượng quyền thì một cá nhân đại diện là người nộp thuế khi được ủy quyền của các cá nhân được hưởng thu nhập từ nhượng quyền thương mại.</w:t>
      </w:r>
    </w:p>
    <w:p w14:paraId="0BD5359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Thời điểm xác định thu nhập tính thuế</w:t>
      </w:r>
    </w:p>
    <w:p w14:paraId="0D747AD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Thời điểm xác định thu nhập tính thuế từ nhượng quyền thương mại là thời điểm tổ chức, cá nhân trả thu nhập cho người nộp thuế.</w:t>
      </w:r>
    </w:p>
    <w:p w14:paraId="4899D71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61. Thuế thu nhập cá nhân đối với thu nhập từ nhận thừa kế, quà tặng</w:t>
      </w:r>
    </w:p>
    <w:p w14:paraId="50DE25D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nhận thừa kế, quà tặng của cá nhân cư trú được xác định bằng thu nhập tính thuế nhân (x) với thuế suất 10%.</w:t>
      </w:r>
    </w:p>
    <w:p w14:paraId="755D71D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tính thuế từ nhận thừa kế, quà tặng là phần giá trị tài sản thừa kế, quà tặng vượt trên 20 triệu đồng mà người nộp thuế nhận được theo từng lần phát sinh. Việc xác định thu nhập tính thuế đối với các loại tài sản nhận thừa kế, quà tặng phải bảo đảm phù hợp với giá giao dịch thông thường trên thị trường của tài sản cùng loại hoặc tương đương tại thời điểm phát sinh thu nhập.</w:t>
      </w:r>
    </w:p>
    <w:p w14:paraId="1CE4C6F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3. Thời điểm xác định thu nhập tính thuế</w:t>
      </w:r>
    </w:p>
    <w:p w14:paraId="0FB2537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Đối với thu nhập từ nhận thừa kế, quà tặng là thời điểm tổ chức, cá nhân tặng cho người nộp thuế hoặc thời điểm người nộp thuế nhận được thừa kế, quà tặng;</w:t>
      </w:r>
    </w:p>
    <w:p w14:paraId="4739C71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Đối với thu nhập từ nhận thừa kế, quà tặng là tài sản phải đăng ký quyền sở hữu, quyền sử dụng thì thời điểm xác định thu nhập tính thuế là thời điểm đăng ký quyền sở hữu, quyền sử dụng tài sản được thừa kế, cho tặng.</w:t>
      </w:r>
    </w:p>
    <w:p w14:paraId="0E98822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Một số trường hợp cụ thể như sau:</w:t>
      </w:r>
    </w:p>
    <w:p w14:paraId="0BC6954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Đối với nhận thừa kế, quà tặng là chứng khoán, thu nhập tính thuế được xác định tại thời điểm làm thủ tục đăng ký quyền sở hữu hoặc thời điểm nộp hồ sơ khai thuế với cơ quan thuế, cụ thể:</w:t>
      </w:r>
    </w:p>
    <w:p w14:paraId="5C59564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Đối với chứng khoán niêm yết, đăng ký giao dịch trên Sở Giao dịch chứng khoán: giá trị của chứng khoán được căn cứ vào giá tham chiếu trên Sở giao dịch chứng khoán.</w:t>
      </w:r>
    </w:p>
    <w:p w14:paraId="6A4EBB7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Đối với chứng khoán không thuộc trường hợp trên: giá trị của chứng khoán được căn cứ vào giá trị sổ sách kế toán của công ty phát hành loại chứng khoán đó tại thời điểm lập báo cáo tài chính gần nhất theo quy định của pháp luật về kế toán.</w:t>
      </w:r>
    </w:p>
    <w:p w14:paraId="697A21B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Đối với nhận thừa kế, quà tặng là phần vốn trong các tổ chức, cơ sở kinh doanh, thu nhập tính thuế được xác định căn cứ vào giá trị sổ sách kế toán tại thời điểm gần nhất trước thời điểm đăng ký quyền sở hữu phần vốn góp;</w:t>
      </w:r>
    </w:p>
    <w:p w14:paraId="0D6B40E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Đối với nhận thừa kế, quà tặng là bất động sản, thu nhập tính thuế được xác định như sau:</w:t>
      </w:r>
    </w:p>
    <w:p w14:paraId="66A5508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Đối với phần trị giá đất: được xác định căn cứ theo bảng giá đất, hệ số điều chỉnh giá đất (nếu có) theo quy định của pháp luật về đất đai tại thời điểm cá nhân làm thủ tục đăng ký quyền sử dụng, quyền sở hữu bất động sản.</w:t>
      </w:r>
    </w:p>
    <w:p w14:paraId="6F0E515B" w14:textId="13F0306E"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Đối với phần trị giá nhà, kết cấu hạ tầng và công trình kiến trúc gắn liền với đất: được xác định theo giá tính lệ phí trước bạ nhà do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cấp tỉnh quy định tại thời điểm cá nhân làm thủ tục đăng ký quyền sử dụng, quyền sở hữu bất động sản. Trường hợp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cấp tỉnh không có quy định giá tính lệ phí trước bạ nhà thì căn cứ vào quy định của Bộ Xây dựng về phân loại nhà, về tiêu chuẩn, về định mức xây dựng cơ bản; giá trị còn lại thực tế của công trình trên đất.</w:t>
      </w:r>
    </w:p>
    <w:p w14:paraId="135410D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d) Đối với nhận thừa kế, quà tặng là tài sản khác phải đăng ký quyền sở hữu, quyền sử dụng, việc xác định thu nhập tính thuế được căn cứ vào giá tính lệ phí trước bạ của tài sản đó hoặc tài sản cùng loại (nếu có) tại thời điểm cá nhân làm thủ tục đăng ký quyền sở hữu, quyền sử dụng tài sản thừa kế, quà tặng. Trường hợp cá nhân nhận thừa kế, quà tặng là tài sản nhập khẩu và cá nhân phải nộp các loại thuế liên quan đến việc nhập khẩu tài sản thì giá trị tài sản làm căn cứ tính thuế là giá tính lệ phí trước bạ tại thời điểm đăng ký quyền sở hữu trừ các khoản thuế đã nộp ở khâu nhập khẩu.</w:t>
      </w:r>
    </w:p>
    <w:p w14:paraId="1B17AB0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62. Thuế thu nhập cá nhân đối với thu nhập khác</w:t>
      </w:r>
    </w:p>
    <w:p w14:paraId="7609F77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khác của cá nhân cư trú quy định tại các khoản 1, 2 và 3 Điều 16 của Nghị định này được xác định bằng thu nhập tính thuế nhân (x) với thuế suất 5%. Trong đó, thu nhập tính thuế là phần thu nhập vượt trên 20 triệu đồng mà người nộp thuế nhận được theo từng lần chuyển nhượng.</w:t>
      </w:r>
    </w:p>
    <w:p w14:paraId="7767D06B" w14:textId="116711C2"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Đối với thu nhập từ chuyển nhượng biển số xe trúng đấu giá, thu nhập tính thuế là phần vượt trên 20 triệu đồng của giá chuyển nhượng (bao gồm cả xe gắn với biển số trúng đấu giá) trừ</w:t>
      </w:r>
      <w:r w:rsidR="0044307A"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 xml:space="preserve"> đi giá trị còn lại của xe theo giá tính lệ phí trước bạ tại thời điểm chuyển nhượng.</w:t>
      </w:r>
    </w:p>
    <w:p w14:paraId="64B395A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Thuế thu nhập cá nhân đối với thu nhập khác của cá nhân cư trú quy định tại khoản 4 Điều 16 của Nghị định này được xác định bằng giá chuyển nhượng nhân (x) với thuế suất 0,1%.</w:t>
      </w:r>
    </w:p>
    <w:p w14:paraId="5880059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Thời điểm xác định thu nhập tính thuế là thời điểm tổ chức, cá nhân chi trả thu nhập cho người nộp thuế hoặc thời điểm người nộp thuế nhận được thu nhập.</w:t>
      </w:r>
    </w:p>
    <w:p w14:paraId="42639CB1" w14:textId="77777777" w:rsidR="009166B8" w:rsidRPr="00322B1D" w:rsidRDefault="00A04B29" w:rsidP="001C36A2">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4. Các trường hợp khấu trừ thuế, khai thuế thay, nộp thuế thay thực hiện theo quy định tại Điều 67 của Nghị định này và pháp luật về quản lý thuế.</w:t>
      </w:r>
    </w:p>
    <w:p w14:paraId="353B96C2"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027F118A" w14:textId="77777777" w:rsidR="009166B8" w:rsidRPr="00322B1D" w:rsidRDefault="00A04B29" w:rsidP="001C36A2">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Chương V</w:t>
      </w:r>
    </w:p>
    <w:p w14:paraId="5E357145" w14:textId="7E0F6901" w:rsidR="009166B8" w:rsidRPr="00322B1D" w:rsidRDefault="00A04B29" w:rsidP="001C36A2">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 xml:space="preserve">CĂN CỨ TÍNH THUẾ ĐỐI VỚI THU NHẬP CỦA CÁ NHÂN </w:t>
      </w:r>
      <w:r w:rsidR="001C36A2"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KHÔNG CƯ TRÚ</w:t>
      </w:r>
    </w:p>
    <w:p w14:paraId="65FC55EF" w14:textId="77777777" w:rsidR="001C36A2" w:rsidRPr="00322B1D" w:rsidRDefault="001C36A2" w:rsidP="001C36A2">
      <w:pPr>
        <w:adjustRightInd w:val="0"/>
        <w:snapToGrid w:val="0"/>
        <w:spacing w:after="0" w:line="240" w:lineRule="auto"/>
        <w:jc w:val="center"/>
        <w:rPr>
          <w:rFonts w:ascii="Times New Roman" w:hAnsi="Times New Roman" w:cs="Times New Roman"/>
          <w:color w:val="000000" w:themeColor="text1"/>
        </w:rPr>
      </w:pPr>
    </w:p>
    <w:p w14:paraId="43473DE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63. Thuế thu nhập cá nhân đối với thu nhập từ kinh doanh</w:t>
      </w:r>
    </w:p>
    <w:p w14:paraId="1F1EBEF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kinh doanh của cá nhân không cư trú được xác định bằng doanh thu từ hoạt động sản xuất, kinh doanh quy định tại khoản 2 Điều 20 của Luật Thuế thu nhập cá nhân nhân (x) với thuế suất quy định tại khoản 3 Điều 20 của Luật Thuế thu nhập cá nhân.</w:t>
      </w:r>
    </w:p>
    <w:p w14:paraId="7990700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Trường hợp cá nhân không cư trú có doanh thu từ nhiều lĩnh vực, ngành nghề sản xuất, kinh doanh khác nhau nhưng không tách riêng được doanh thu của từng lĩnh vực, ngành nghề thì thuế suất thuế thu nhập cá nhân được áp dụng theo mức thuế suất cao nhất đối với lĩnh vực, ngành nghề thực tế hoạt động trên toàn bộ doanh thu.</w:t>
      </w:r>
    </w:p>
    <w:p w14:paraId="3526B12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Thời điểm xác định thu nhập tính thuế đối với thu nhập từ kinh doanh là thời điểm cá nhân không cư trú nhận được thu nhập hoặc thời điểm xuất hóa đơn bán hàng hóa, cung cấp dịch vụ.</w:t>
      </w:r>
    </w:p>
    <w:p w14:paraId="2866311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Việc khấu trừ thuế, khai thuế thay, nộp thuế thay thực hiện theo quy định tại Điều 67 của Nghị định này và pháp luật về quản lý thuế.</w:t>
      </w:r>
    </w:p>
    <w:p w14:paraId="7376A4C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64. Thuế thu nhập cá nhân đối với thu nhập từ tiền lương, tiền công</w:t>
      </w:r>
    </w:p>
    <w:p w14:paraId="299C93E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Thuế thu nhập cá nhân đối với thu nhập từ tiền lương, tiền công của cá nhân không cư trú được xác định bằng tổng số tiền lương, tiền công mà cá nhân nhận được do thực hiện công việc tại Việt Nam nhân (x) với thuế suất 20%.</w:t>
      </w:r>
    </w:p>
    <w:p w14:paraId="76E2D982"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Thu nhập từ tiền lương, tiền công của cá nhân không cư trú được xác định như đối với thu nhập chịu thuế thu nhập cá nhân từ tiền lương, tiền công của cá nhân cư trú.</w:t>
      </w:r>
    </w:p>
    <w:p w14:paraId="77BF533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Việc xác định thu nhập chịu thuế thu nhập cá nhân từ tiền lương, tiền công tại Việt Nam trong trường hợp cá nhân không cư trú làm việc đồng thời ở Việt Nam và nước ngoài nhưng không tách riêng được phần thu nhập phát sinh tại Việt Nam thực hiện theo công thức sau:</w:t>
      </w:r>
    </w:p>
    <w:p w14:paraId="01E7B8D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Đối với trường hợp cá nhân người nước ngoài không hiện diện tại Việt Nam:</w:t>
      </w:r>
    </w:p>
    <w:tbl>
      <w:tblPr>
        <w:tblW w:w="5000" w:type="pct"/>
        <w:tblCellMar>
          <w:left w:w="10" w:type="dxa"/>
          <w:right w:w="10" w:type="dxa"/>
        </w:tblCellMar>
        <w:tblLook w:val="07E0" w:firstRow="1" w:lastRow="1" w:firstColumn="1" w:lastColumn="1" w:noHBand="1" w:noVBand="1"/>
      </w:tblPr>
      <w:tblGrid>
        <w:gridCol w:w="1373"/>
        <w:gridCol w:w="454"/>
        <w:gridCol w:w="3177"/>
        <w:gridCol w:w="757"/>
        <w:gridCol w:w="1816"/>
        <w:gridCol w:w="454"/>
        <w:gridCol w:w="1626"/>
      </w:tblGrid>
      <w:tr w:rsidR="001C36A2" w:rsidRPr="00322B1D" w14:paraId="7071439C" w14:textId="77777777" w:rsidTr="007D5FDE">
        <w:trPr>
          <w:trHeight w:val="20"/>
        </w:trPr>
        <w:tc>
          <w:tcPr>
            <w:tcW w:w="711" w:type="pct"/>
            <w:vMerge w:val="restart"/>
            <w:vAlign w:val="center"/>
          </w:tcPr>
          <w:p w14:paraId="4ED4A6E1" w14:textId="58D4A934"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Tổng thu</w:t>
            </w:r>
            <w:r w:rsidRPr="00322B1D">
              <w:rPr>
                <w:rFonts w:ascii="Times New Roman" w:hAnsi="Times New Roman" w:cs="Times New Roman"/>
                <w:color w:val="000000" w:themeColor="text1"/>
              </w:rPr>
              <w:br/>
              <w:t>nhập phát</w:t>
            </w:r>
            <w:r w:rsidRPr="00322B1D">
              <w:rPr>
                <w:rFonts w:ascii="Times New Roman" w:hAnsi="Times New Roman" w:cs="Times New Roman"/>
                <w:color w:val="000000" w:themeColor="text1"/>
              </w:rPr>
              <w:br/>
              <w:t>sinh tại</w:t>
            </w:r>
            <w:r w:rsidRPr="00322B1D">
              <w:rPr>
                <w:rFonts w:ascii="Times New Roman" w:hAnsi="Times New Roman" w:cs="Times New Roman"/>
                <w:color w:val="000000" w:themeColor="text1"/>
              </w:rPr>
              <w:br/>
              <w:t>Việt Nam</w:t>
            </w:r>
          </w:p>
        </w:tc>
        <w:tc>
          <w:tcPr>
            <w:tcW w:w="235" w:type="pct"/>
            <w:vMerge w:val="restart"/>
            <w:vAlign w:val="center"/>
          </w:tcPr>
          <w:p w14:paraId="4F12DC81" w14:textId="5C812848"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1645" w:type="pct"/>
            <w:tcBorders>
              <w:bottom w:val="single" w:sz="4" w:space="0" w:color="auto"/>
            </w:tcBorders>
            <w:vAlign w:val="center"/>
          </w:tcPr>
          <w:p w14:paraId="64DB668F" w14:textId="2178EEA3"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ngày làm việc cho</w:t>
            </w:r>
            <w:r w:rsidRPr="00322B1D">
              <w:rPr>
                <w:rFonts w:ascii="Times New Roman" w:hAnsi="Times New Roman" w:cs="Times New Roman"/>
                <w:color w:val="000000" w:themeColor="text1"/>
              </w:rPr>
              <w:br/>
              <w:t>công việc tại Việt Nam</w:t>
            </w:r>
          </w:p>
        </w:tc>
        <w:tc>
          <w:tcPr>
            <w:tcW w:w="392" w:type="pct"/>
            <w:vMerge w:val="restart"/>
            <w:vAlign w:val="center"/>
          </w:tcPr>
          <w:p w14:paraId="4FFA612D" w14:textId="716C22D5"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x</w:t>
            </w:r>
          </w:p>
        </w:tc>
        <w:tc>
          <w:tcPr>
            <w:tcW w:w="940" w:type="pct"/>
            <w:vMerge w:val="restart"/>
            <w:vAlign w:val="center"/>
          </w:tcPr>
          <w:p w14:paraId="552172CA" w14:textId="02B79B7D"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Thu nhập từ</w:t>
            </w:r>
            <w:r w:rsidRPr="00322B1D">
              <w:rPr>
                <w:rFonts w:ascii="Times New Roman" w:hAnsi="Times New Roman" w:cs="Times New Roman"/>
                <w:color w:val="000000" w:themeColor="text1"/>
              </w:rPr>
              <w:br/>
              <w:t>tiền lương,</w:t>
            </w:r>
            <w:r w:rsidRPr="00322B1D">
              <w:rPr>
                <w:rFonts w:ascii="Times New Roman" w:hAnsi="Times New Roman" w:cs="Times New Roman"/>
                <w:color w:val="000000" w:themeColor="text1"/>
              </w:rPr>
              <w:br/>
              <w:t>tiền công</w:t>
            </w:r>
            <w:r w:rsidRPr="00322B1D">
              <w:rPr>
                <w:rFonts w:ascii="Times New Roman" w:hAnsi="Times New Roman" w:cs="Times New Roman"/>
                <w:color w:val="000000" w:themeColor="text1"/>
              </w:rPr>
              <w:br/>
              <w:t>toàn cầu</w:t>
            </w:r>
            <w:r w:rsidRPr="00322B1D">
              <w:rPr>
                <w:rFonts w:ascii="Times New Roman" w:hAnsi="Times New Roman" w:cs="Times New Roman"/>
                <w:color w:val="000000" w:themeColor="text1"/>
              </w:rPr>
              <w:br/>
              <w:t>(trước thuế)</w:t>
            </w:r>
          </w:p>
        </w:tc>
        <w:tc>
          <w:tcPr>
            <w:tcW w:w="235" w:type="pct"/>
            <w:vMerge w:val="restart"/>
            <w:vAlign w:val="center"/>
          </w:tcPr>
          <w:p w14:paraId="7F3DA072" w14:textId="61F3495E"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842" w:type="pct"/>
            <w:vMerge w:val="restart"/>
            <w:vAlign w:val="center"/>
          </w:tcPr>
          <w:p w14:paraId="5D5DBEE5" w14:textId="4D52749D"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Thu nhập</w:t>
            </w:r>
            <w:r w:rsidRPr="00322B1D">
              <w:rPr>
                <w:rFonts w:ascii="Times New Roman" w:hAnsi="Times New Roman" w:cs="Times New Roman"/>
                <w:color w:val="000000" w:themeColor="text1"/>
              </w:rPr>
              <w:br/>
              <w:t>chịu thuế</w:t>
            </w:r>
            <w:r w:rsidRPr="00322B1D">
              <w:rPr>
                <w:rFonts w:ascii="Times New Roman" w:hAnsi="Times New Roman" w:cs="Times New Roman"/>
                <w:color w:val="000000" w:themeColor="text1"/>
              </w:rPr>
              <w:br/>
              <w:t>khác (trước</w:t>
            </w:r>
            <w:r w:rsidRPr="00322B1D">
              <w:rPr>
                <w:rFonts w:ascii="Times New Roman" w:hAnsi="Times New Roman" w:cs="Times New Roman"/>
                <w:color w:val="000000" w:themeColor="text1"/>
              </w:rPr>
              <w:br/>
              <w:t>thuế) phát</w:t>
            </w:r>
            <w:r w:rsidRPr="00322B1D">
              <w:rPr>
                <w:rFonts w:ascii="Times New Roman" w:hAnsi="Times New Roman" w:cs="Times New Roman"/>
                <w:color w:val="000000" w:themeColor="text1"/>
              </w:rPr>
              <w:br/>
              <w:t xml:space="preserve">sinh tại Việt </w:t>
            </w:r>
            <w:r w:rsidRPr="00322B1D">
              <w:rPr>
                <w:rFonts w:ascii="Times New Roman" w:hAnsi="Times New Roman" w:cs="Times New Roman"/>
                <w:color w:val="000000" w:themeColor="text1"/>
              </w:rPr>
              <w:br/>
              <w:t>Nam</w:t>
            </w:r>
          </w:p>
        </w:tc>
      </w:tr>
      <w:tr w:rsidR="001C36A2" w:rsidRPr="00322B1D" w14:paraId="4D864CB3" w14:textId="77777777" w:rsidTr="007D5FDE">
        <w:trPr>
          <w:trHeight w:val="20"/>
        </w:trPr>
        <w:tc>
          <w:tcPr>
            <w:tcW w:w="711" w:type="pct"/>
            <w:vMerge/>
            <w:vAlign w:val="center"/>
          </w:tcPr>
          <w:p w14:paraId="443BB181" w14:textId="0A6FFF0F"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p>
        </w:tc>
        <w:tc>
          <w:tcPr>
            <w:tcW w:w="235" w:type="pct"/>
            <w:vMerge/>
            <w:vAlign w:val="center"/>
          </w:tcPr>
          <w:p w14:paraId="41158931" w14:textId="11350364"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p>
        </w:tc>
        <w:tc>
          <w:tcPr>
            <w:tcW w:w="1645" w:type="pct"/>
            <w:tcBorders>
              <w:top w:val="single" w:sz="4" w:space="0" w:color="auto"/>
            </w:tcBorders>
            <w:vAlign w:val="center"/>
          </w:tcPr>
          <w:p w14:paraId="24D50586" w14:textId="01860BAA"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Tổng số ngày làm việc</w:t>
            </w:r>
            <w:r w:rsidRPr="00322B1D">
              <w:rPr>
                <w:rFonts w:ascii="Times New Roman" w:hAnsi="Times New Roman" w:cs="Times New Roman"/>
                <w:color w:val="000000" w:themeColor="text1"/>
              </w:rPr>
              <w:br/>
              <w:t>trong năm</w:t>
            </w:r>
          </w:p>
        </w:tc>
        <w:tc>
          <w:tcPr>
            <w:tcW w:w="392" w:type="pct"/>
            <w:vMerge/>
            <w:vAlign w:val="center"/>
          </w:tcPr>
          <w:p w14:paraId="1B41AAB1" w14:textId="74D62CE1"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p>
        </w:tc>
        <w:tc>
          <w:tcPr>
            <w:tcW w:w="940" w:type="pct"/>
            <w:vMerge/>
            <w:vAlign w:val="center"/>
          </w:tcPr>
          <w:p w14:paraId="413E06F1" w14:textId="651D3E8B"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p>
        </w:tc>
        <w:tc>
          <w:tcPr>
            <w:tcW w:w="235" w:type="pct"/>
            <w:vMerge/>
            <w:vAlign w:val="center"/>
          </w:tcPr>
          <w:p w14:paraId="039D1FB3" w14:textId="724E5E09"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p>
        </w:tc>
        <w:tc>
          <w:tcPr>
            <w:tcW w:w="842" w:type="pct"/>
            <w:vMerge/>
            <w:vAlign w:val="center"/>
          </w:tcPr>
          <w:p w14:paraId="3DD5C8D4" w14:textId="11C2B4BA" w:rsidR="001C36A2" w:rsidRPr="00322B1D" w:rsidRDefault="001C36A2" w:rsidP="00322933">
            <w:pPr>
              <w:adjustRightInd w:val="0"/>
              <w:snapToGrid w:val="0"/>
              <w:spacing w:before="40" w:after="40" w:line="240" w:lineRule="auto"/>
              <w:jc w:val="center"/>
              <w:rPr>
                <w:rFonts w:ascii="Times New Roman" w:hAnsi="Times New Roman" w:cs="Times New Roman"/>
                <w:color w:val="000000" w:themeColor="text1"/>
              </w:rPr>
            </w:pPr>
          </w:p>
        </w:tc>
      </w:tr>
    </w:tbl>
    <w:p w14:paraId="3439472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Trong đó: Tổng số ngày làm việc trong năm được tính theo chế độ quy định tại Bộ luật Lao động của Việt Nam.</w:t>
      </w:r>
    </w:p>
    <w:p w14:paraId="146B214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Đối với các trường hợp cá nhân người nước ngoài hiện diện tại Việt Nam:</w:t>
      </w:r>
    </w:p>
    <w:tbl>
      <w:tblPr>
        <w:tblW w:w="5000" w:type="pct"/>
        <w:tblCellMar>
          <w:left w:w="10" w:type="dxa"/>
          <w:right w:w="10" w:type="dxa"/>
        </w:tblCellMar>
        <w:tblLook w:val="07E0" w:firstRow="1" w:lastRow="1" w:firstColumn="1" w:lastColumn="1" w:noHBand="1" w:noVBand="1"/>
      </w:tblPr>
      <w:tblGrid>
        <w:gridCol w:w="1737"/>
        <w:gridCol w:w="393"/>
        <w:gridCol w:w="2913"/>
        <w:gridCol w:w="415"/>
        <w:gridCol w:w="1931"/>
        <w:gridCol w:w="491"/>
        <w:gridCol w:w="1777"/>
      </w:tblGrid>
      <w:tr w:rsidR="00322933" w:rsidRPr="00322B1D" w14:paraId="2DBD8875" w14:textId="77777777" w:rsidTr="007D5FDE">
        <w:trPr>
          <w:trHeight w:val="20"/>
        </w:trPr>
        <w:tc>
          <w:tcPr>
            <w:tcW w:w="899" w:type="pct"/>
            <w:vMerge w:val="restart"/>
            <w:vAlign w:val="center"/>
          </w:tcPr>
          <w:p w14:paraId="2B9E4F8D" w14:textId="25C6EF21"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Tổng thu</w:t>
            </w:r>
            <w:r w:rsidRPr="00322B1D">
              <w:rPr>
                <w:rFonts w:ascii="Times New Roman" w:hAnsi="Times New Roman" w:cs="Times New Roman"/>
                <w:color w:val="000000" w:themeColor="text1"/>
              </w:rPr>
              <w:br/>
              <w:t xml:space="preserve">nhập phát </w:t>
            </w:r>
            <w:r w:rsidRPr="00322B1D">
              <w:rPr>
                <w:rFonts w:ascii="Times New Roman" w:hAnsi="Times New Roman" w:cs="Times New Roman"/>
                <w:color w:val="000000" w:themeColor="text1"/>
              </w:rPr>
              <w:br/>
              <w:t xml:space="preserve">sinh tại </w:t>
            </w:r>
            <w:r w:rsidRPr="00322B1D">
              <w:rPr>
                <w:rFonts w:ascii="Times New Roman" w:hAnsi="Times New Roman" w:cs="Times New Roman"/>
                <w:color w:val="000000" w:themeColor="text1"/>
              </w:rPr>
              <w:br/>
              <w:t>Việt Nam</w:t>
            </w:r>
          </w:p>
        </w:tc>
        <w:tc>
          <w:tcPr>
            <w:tcW w:w="203" w:type="pct"/>
            <w:vMerge w:val="restart"/>
            <w:vAlign w:val="center"/>
          </w:tcPr>
          <w:p w14:paraId="735EAC43" w14:textId="0CF4C8C5"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1508" w:type="pct"/>
            <w:tcBorders>
              <w:bottom w:val="single" w:sz="4" w:space="0" w:color="auto"/>
            </w:tcBorders>
            <w:vAlign w:val="center"/>
          </w:tcPr>
          <w:p w14:paraId="29031A36" w14:textId="7D16A140"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ngày có mặt ở</w:t>
            </w:r>
            <w:r w:rsidRPr="00322B1D">
              <w:rPr>
                <w:rFonts w:ascii="Times New Roman" w:hAnsi="Times New Roman" w:cs="Times New Roman"/>
                <w:color w:val="000000" w:themeColor="text1"/>
              </w:rPr>
              <w:br/>
              <w:t>Việt Nam</w:t>
            </w:r>
          </w:p>
        </w:tc>
        <w:tc>
          <w:tcPr>
            <w:tcW w:w="215" w:type="pct"/>
            <w:vMerge w:val="restart"/>
            <w:vAlign w:val="center"/>
          </w:tcPr>
          <w:p w14:paraId="77115CC9" w14:textId="5D2FC711"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x</w:t>
            </w:r>
          </w:p>
        </w:tc>
        <w:tc>
          <w:tcPr>
            <w:tcW w:w="1000" w:type="pct"/>
            <w:vMerge w:val="restart"/>
            <w:vAlign w:val="center"/>
          </w:tcPr>
          <w:p w14:paraId="720A6BBD" w14:textId="0B4A7F29"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Thu nhập từ</w:t>
            </w:r>
            <w:r w:rsidRPr="00322B1D">
              <w:rPr>
                <w:rFonts w:ascii="Times New Roman" w:hAnsi="Times New Roman" w:cs="Times New Roman"/>
                <w:color w:val="000000" w:themeColor="text1"/>
              </w:rPr>
              <w:br/>
              <w:t>tiền lương,</w:t>
            </w:r>
            <w:r w:rsidRPr="00322B1D">
              <w:rPr>
                <w:rFonts w:ascii="Times New Roman" w:hAnsi="Times New Roman" w:cs="Times New Roman"/>
                <w:color w:val="000000" w:themeColor="text1"/>
              </w:rPr>
              <w:br/>
              <w:t>tiền công</w:t>
            </w:r>
            <w:r w:rsidRPr="00322B1D">
              <w:rPr>
                <w:rFonts w:ascii="Times New Roman" w:hAnsi="Times New Roman" w:cs="Times New Roman"/>
                <w:color w:val="000000" w:themeColor="text1"/>
              </w:rPr>
              <w:br/>
              <w:t>toàn cầu</w:t>
            </w:r>
            <w:r w:rsidRPr="00322B1D">
              <w:rPr>
                <w:rFonts w:ascii="Times New Roman" w:hAnsi="Times New Roman" w:cs="Times New Roman"/>
                <w:color w:val="000000" w:themeColor="text1"/>
              </w:rPr>
              <w:br/>
              <w:t>(trước thuế)</w:t>
            </w:r>
          </w:p>
        </w:tc>
        <w:tc>
          <w:tcPr>
            <w:tcW w:w="254" w:type="pct"/>
            <w:vMerge w:val="restart"/>
            <w:vAlign w:val="center"/>
          </w:tcPr>
          <w:p w14:paraId="14D42880" w14:textId="43FD082F"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920" w:type="pct"/>
            <w:vMerge w:val="restart"/>
            <w:vAlign w:val="center"/>
          </w:tcPr>
          <w:p w14:paraId="188B2956" w14:textId="27C6A8E7"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Thu nhập</w:t>
            </w:r>
            <w:r w:rsidRPr="00322B1D">
              <w:rPr>
                <w:rFonts w:ascii="Times New Roman" w:hAnsi="Times New Roman" w:cs="Times New Roman"/>
                <w:color w:val="000000" w:themeColor="text1"/>
              </w:rPr>
              <w:br/>
              <w:t>chịu thuế</w:t>
            </w:r>
            <w:r w:rsidRPr="00322B1D">
              <w:rPr>
                <w:rFonts w:ascii="Times New Roman" w:hAnsi="Times New Roman" w:cs="Times New Roman"/>
                <w:color w:val="000000" w:themeColor="text1"/>
              </w:rPr>
              <w:br/>
              <w:t>khác (trước</w:t>
            </w:r>
            <w:r w:rsidRPr="00322B1D">
              <w:rPr>
                <w:rFonts w:ascii="Times New Roman" w:hAnsi="Times New Roman" w:cs="Times New Roman"/>
                <w:color w:val="000000" w:themeColor="text1"/>
              </w:rPr>
              <w:br/>
              <w:t>thuế) phát</w:t>
            </w:r>
            <w:r w:rsidRPr="00322B1D">
              <w:rPr>
                <w:rFonts w:ascii="Times New Roman" w:hAnsi="Times New Roman" w:cs="Times New Roman"/>
                <w:color w:val="000000" w:themeColor="text1"/>
              </w:rPr>
              <w:br/>
              <w:t>sinh tại Việt</w:t>
            </w:r>
            <w:r w:rsidRPr="00322B1D">
              <w:rPr>
                <w:rFonts w:ascii="Times New Roman" w:hAnsi="Times New Roman" w:cs="Times New Roman"/>
                <w:color w:val="000000" w:themeColor="text1"/>
              </w:rPr>
              <w:br/>
              <w:t>Nam</w:t>
            </w:r>
          </w:p>
        </w:tc>
      </w:tr>
      <w:tr w:rsidR="00322933" w:rsidRPr="00322B1D" w14:paraId="0B416CC7" w14:textId="77777777" w:rsidTr="007D5FDE">
        <w:trPr>
          <w:trHeight w:val="20"/>
        </w:trPr>
        <w:tc>
          <w:tcPr>
            <w:tcW w:w="899" w:type="pct"/>
            <w:vMerge/>
            <w:vAlign w:val="center"/>
          </w:tcPr>
          <w:p w14:paraId="5B28BD87" w14:textId="5FB2983D"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c>
        <w:tc>
          <w:tcPr>
            <w:tcW w:w="203" w:type="pct"/>
            <w:vMerge/>
            <w:vAlign w:val="center"/>
          </w:tcPr>
          <w:p w14:paraId="44FBD9C1" w14:textId="458AB253"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c>
        <w:tc>
          <w:tcPr>
            <w:tcW w:w="1508" w:type="pct"/>
            <w:tcBorders>
              <w:top w:val="single" w:sz="4" w:space="0" w:color="auto"/>
            </w:tcBorders>
            <w:vAlign w:val="center"/>
          </w:tcPr>
          <w:p w14:paraId="0CDDA8AB" w14:textId="77777777"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365 ngày</w:t>
            </w:r>
          </w:p>
        </w:tc>
        <w:tc>
          <w:tcPr>
            <w:tcW w:w="215" w:type="pct"/>
            <w:vMerge/>
            <w:vAlign w:val="center"/>
          </w:tcPr>
          <w:p w14:paraId="2E9C5CA6" w14:textId="666F0B15"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c>
        <w:tc>
          <w:tcPr>
            <w:tcW w:w="1000" w:type="pct"/>
            <w:vMerge/>
            <w:vAlign w:val="center"/>
          </w:tcPr>
          <w:p w14:paraId="3F9B0C72" w14:textId="5E972BCF"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c>
        <w:tc>
          <w:tcPr>
            <w:tcW w:w="254" w:type="pct"/>
            <w:vMerge/>
            <w:vAlign w:val="center"/>
          </w:tcPr>
          <w:p w14:paraId="3A393779" w14:textId="489EF47D"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c>
        <w:tc>
          <w:tcPr>
            <w:tcW w:w="920" w:type="pct"/>
            <w:vMerge/>
            <w:vAlign w:val="center"/>
          </w:tcPr>
          <w:p w14:paraId="4011F06D" w14:textId="02C47574"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c>
      </w:tr>
    </w:tbl>
    <w:p w14:paraId="67F6C65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Thu nhập chịu thuế khác (trước thuế) phát sinh tại Việt Nam tại điểm a và b khoản này là các khoản lợi ích khác bằng tiền hoặc không bằng tiền mà người lao động được hưởng ngoài tiền lương, tiền công do người sử dụng lao động trả hoặc trả thay cho người lao động.</w:t>
      </w:r>
    </w:p>
    <w:p w14:paraId="0123CC5B"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4. Thời điểm xác định thu nhập tính thuế đối với thu nhập từ tiền lương, tiền công của cá nhân không cư trú là thời điểm tổ chức, cá nhân ở Việt Nam trả thu nhập cho cá nhân không cư trú hoặc thời điểm cá nhân không cư trú nhận được thu nhập.</w:t>
      </w:r>
    </w:p>
    <w:p w14:paraId="55635CE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Việc khấu trừ thuế, khai thuế thay, nộp thuế thay thực hiện theo quy định tại Điều 67 của Nghị định này và pháp luật về quản lý thuế.</w:t>
      </w:r>
    </w:p>
    <w:p w14:paraId="5FEF08D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65. Thuế thu nhập cá nhân đối với thu nhập từ đầu tư vốn, chuyển nhượng vốn, chuyển nhượng bất động sản, tiền bản quyền, nhượng quyền thương mại, nhận thừa kế, quà tặng, thu nhập khác của cá nhân không cư trú</w:t>
      </w:r>
    </w:p>
    <w:p w14:paraId="7032208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Việc xác định thuế thu nhập cá nhân đối với thu nhập từ đầu tư vốn, chuyển nhượng vốn, chuyển nhượng bất động sản, tiền bản quyền, nhượng quyền thương mại, nhận thừa kế, quà tặng, thu nhập khác của cá nhân không cư trú tại các Điều 22, 23, 24, 25, 26 và 27 của Luật Thuế thu nhập cá nhân được thực hiện theo các Điều 52, 53, 54, 55, 56, 57, 58, 59, 60, 61 và 62 của Nghị định này.</w:t>
      </w:r>
    </w:p>
    <w:p w14:paraId="4E15C1E4" w14:textId="77777777" w:rsidR="009166B8" w:rsidRPr="00322B1D" w:rsidRDefault="00A04B29" w:rsidP="00322933">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Việc khấu trừ thuế, khai thuế thay, nộp thuế thay thực hiện theo quy định tại các Điều 55, 56, 57 và 67 của Nghị định này và pháp luật về quản lý thuế.</w:t>
      </w:r>
    </w:p>
    <w:p w14:paraId="3B30078E" w14:textId="77777777"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p w14:paraId="33BC172E" w14:textId="77777777" w:rsidR="009166B8" w:rsidRPr="00322B1D" w:rsidRDefault="00A04B29"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Chương VI</w:t>
      </w:r>
    </w:p>
    <w:p w14:paraId="00795272" w14:textId="408322E9" w:rsidR="009166B8" w:rsidRPr="00322B1D" w:rsidRDefault="00A04B29" w:rsidP="00322933">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 xml:space="preserve">KỲ TÍNH THUẾ, KHẤU TRỪ THUẾ, KHAI THUẾ THAY, </w:t>
      </w:r>
      <w:r w:rsidR="00322933"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NỘP THUẾ THAY, QUYẾT TOÁN THUẾ VÀ HOÀN THUẾ</w:t>
      </w:r>
    </w:p>
    <w:p w14:paraId="2C94B6EE" w14:textId="77777777"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p w14:paraId="495C9F8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66. Kỳ tính thuế</w:t>
      </w:r>
    </w:p>
    <w:p w14:paraId="0161D0A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Đối với cá nhân cư trú kỳ tính thuế được xác định như sau:</w:t>
      </w:r>
    </w:p>
    <w:p w14:paraId="208E28E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Kỳ tính thuế theo năm dương lịch đối với thu nhập từ kinh doanh, thu nhập từ tiền lương, tiền công của cá nhân;</w:t>
      </w:r>
    </w:p>
    <w:p w14:paraId="08C2F88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trong 01 năm dương lịch, cá nhân đáp ứng điều kiện là cá nhân cư trú thì kỳ tính thuế được tính theo năm dương lịch.</w:t>
      </w:r>
    </w:p>
    <w:p w14:paraId="3AC578F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trong 01 năm dương lịch, cá nhân có mặt tại Việt Nam dưới 183 ngày nhưng tính trong 12 tháng liên tục kể từ ngày đầu tiên có mặt tại Việt Nam là từ 183 ngày trở lên thì kỳ tính thuế đầu tiên được xác định là 12 tháng liên tục kể từ ngày đầu tiên có mặt tại Việt Nam. Từ năm thứ hai, thì kỳ tính thuế căn cứ theo năm dương lịch nếu cá nhân đáp ứng điều kiện là cá nhân cư trú trong năm dương lịch và việc xác định số thuế còn phải nộp trong năm tính thuế thứ 2 cụ thể như sau:</w:t>
      </w:r>
    </w:p>
    <w:tbl>
      <w:tblPr>
        <w:tblW w:w="5000" w:type="pct"/>
        <w:tblCellMar>
          <w:left w:w="10" w:type="dxa"/>
          <w:right w:w="10" w:type="dxa"/>
        </w:tblCellMar>
        <w:tblLook w:val="07E0" w:firstRow="1" w:lastRow="1" w:firstColumn="1" w:lastColumn="1" w:noHBand="1" w:noVBand="1"/>
      </w:tblPr>
      <w:tblGrid>
        <w:gridCol w:w="3363"/>
        <w:gridCol w:w="249"/>
        <w:gridCol w:w="3484"/>
        <w:gridCol w:w="158"/>
        <w:gridCol w:w="2403"/>
      </w:tblGrid>
      <w:tr w:rsidR="001C36A2" w:rsidRPr="00322B1D" w14:paraId="0260E416" w14:textId="77777777" w:rsidTr="007D5FDE">
        <w:trPr>
          <w:trHeight w:val="20"/>
        </w:trPr>
        <w:tc>
          <w:tcPr>
            <w:tcW w:w="1741" w:type="pct"/>
            <w:vAlign w:val="center"/>
          </w:tcPr>
          <w:p w14:paraId="63B6B040" w14:textId="5DB21424"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w:t>
            </w:r>
            <w:r w:rsidR="0044307A" w:rsidRPr="00322B1D">
              <w:rPr>
                <w:rFonts w:ascii="Times New Roman" w:hAnsi="Times New Roman" w:cs="Times New Roman"/>
                <w:color w:val="000000" w:themeColor="text1"/>
              </w:rPr>
              <w:t>huế</w:t>
            </w:r>
            <w:r w:rsidRPr="00322B1D">
              <w:rPr>
                <w:rFonts w:ascii="Times New Roman" w:hAnsi="Times New Roman" w:cs="Times New Roman"/>
                <w:color w:val="000000" w:themeColor="text1"/>
              </w:rPr>
              <w:t xml:space="preserve"> còn phải nộp</w:t>
            </w:r>
            <w:r w:rsidR="00322933" w:rsidRPr="00322B1D">
              <w:rPr>
                <w:rFonts w:ascii="Times New Roman" w:hAnsi="Times New Roman" w:cs="Times New Roman"/>
                <w:color w:val="000000" w:themeColor="text1"/>
              </w:rPr>
              <w:br/>
            </w:r>
            <w:r w:rsidRPr="00322B1D">
              <w:rPr>
                <w:rFonts w:ascii="Times New Roman" w:hAnsi="Times New Roman" w:cs="Times New Roman"/>
                <w:color w:val="000000" w:themeColor="text1"/>
              </w:rPr>
              <w:t>năm tính thuế thứ 2</w:t>
            </w:r>
          </w:p>
        </w:tc>
        <w:tc>
          <w:tcPr>
            <w:tcW w:w="129" w:type="pct"/>
            <w:vAlign w:val="center"/>
          </w:tcPr>
          <w:p w14:paraId="729461FC"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1804" w:type="pct"/>
            <w:vAlign w:val="center"/>
          </w:tcPr>
          <w:p w14:paraId="6678B9C5" w14:textId="3F8D0429"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thuế phải nộp của</w:t>
            </w:r>
            <w:r w:rsidR="00322933" w:rsidRPr="00322B1D">
              <w:rPr>
                <w:rFonts w:ascii="Times New Roman" w:hAnsi="Times New Roman" w:cs="Times New Roman"/>
                <w:color w:val="000000" w:themeColor="text1"/>
              </w:rPr>
              <w:br/>
            </w:r>
            <w:r w:rsidRPr="00322B1D">
              <w:rPr>
                <w:rFonts w:ascii="Times New Roman" w:hAnsi="Times New Roman" w:cs="Times New Roman"/>
                <w:color w:val="000000" w:themeColor="text1"/>
              </w:rPr>
              <w:t>năm tính thuế thứ 2</w:t>
            </w:r>
          </w:p>
        </w:tc>
        <w:tc>
          <w:tcPr>
            <w:tcW w:w="82" w:type="pct"/>
            <w:vAlign w:val="center"/>
          </w:tcPr>
          <w:p w14:paraId="407B9B39"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1244" w:type="pct"/>
            <w:vAlign w:val="center"/>
          </w:tcPr>
          <w:p w14:paraId="280C7E95" w14:textId="425AF1DB"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thuế tính</w:t>
            </w:r>
            <w:r w:rsidR="00322933" w:rsidRPr="00322B1D">
              <w:rPr>
                <w:rFonts w:ascii="Times New Roman" w:hAnsi="Times New Roman" w:cs="Times New Roman"/>
                <w:color w:val="000000" w:themeColor="text1"/>
              </w:rPr>
              <w:br/>
            </w:r>
            <w:r w:rsidRPr="00322B1D">
              <w:rPr>
                <w:rFonts w:ascii="Times New Roman" w:hAnsi="Times New Roman" w:cs="Times New Roman"/>
                <w:color w:val="000000" w:themeColor="text1"/>
              </w:rPr>
              <w:t>trùng được trừ</w:t>
            </w:r>
          </w:p>
        </w:tc>
      </w:tr>
    </w:tbl>
    <w:p w14:paraId="5A1ADE2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Trong đó:</w:t>
      </w:r>
    </w:p>
    <w:tbl>
      <w:tblPr>
        <w:tblW w:w="5000" w:type="pct"/>
        <w:tblCellMar>
          <w:left w:w="10" w:type="dxa"/>
          <w:right w:w="10" w:type="dxa"/>
        </w:tblCellMar>
        <w:tblLook w:val="07E0" w:firstRow="1" w:lastRow="1" w:firstColumn="1" w:lastColumn="1" w:noHBand="1" w:noVBand="1"/>
      </w:tblPr>
      <w:tblGrid>
        <w:gridCol w:w="3110"/>
        <w:gridCol w:w="224"/>
        <w:gridCol w:w="3382"/>
        <w:gridCol w:w="195"/>
        <w:gridCol w:w="2746"/>
      </w:tblGrid>
      <w:tr w:rsidR="001C36A2" w:rsidRPr="00322B1D" w14:paraId="0E882D64" w14:textId="77777777" w:rsidTr="007D5FDE">
        <w:trPr>
          <w:trHeight w:val="20"/>
        </w:trPr>
        <w:tc>
          <w:tcPr>
            <w:tcW w:w="1610" w:type="pct"/>
            <w:vAlign w:val="center"/>
          </w:tcPr>
          <w:p w14:paraId="1AE16B77" w14:textId="63A31CAD" w:rsidR="009166B8" w:rsidRPr="00322B1D" w:rsidRDefault="00A04B29"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thuế phải nộp của</w:t>
            </w:r>
            <w:r w:rsidR="00322933" w:rsidRPr="00322B1D">
              <w:rPr>
                <w:rFonts w:ascii="Times New Roman" w:hAnsi="Times New Roman" w:cs="Times New Roman"/>
                <w:color w:val="000000" w:themeColor="text1"/>
              </w:rPr>
              <w:br/>
            </w:r>
            <w:r w:rsidRPr="00322B1D">
              <w:rPr>
                <w:rFonts w:ascii="Times New Roman" w:hAnsi="Times New Roman" w:cs="Times New Roman"/>
                <w:color w:val="000000" w:themeColor="text1"/>
              </w:rPr>
              <w:t>năm tính thuế thứ 2</w:t>
            </w:r>
          </w:p>
        </w:tc>
        <w:tc>
          <w:tcPr>
            <w:tcW w:w="116" w:type="pct"/>
            <w:vAlign w:val="center"/>
          </w:tcPr>
          <w:p w14:paraId="54E4623C" w14:textId="77777777" w:rsidR="009166B8" w:rsidRPr="00322B1D" w:rsidRDefault="00A04B29"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1751" w:type="pct"/>
            <w:vAlign w:val="center"/>
          </w:tcPr>
          <w:p w14:paraId="14B168F9" w14:textId="482C8FC5" w:rsidR="009166B8" w:rsidRPr="00322B1D" w:rsidRDefault="00A04B29"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Thu nhập tính thuế của</w:t>
            </w:r>
            <w:r w:rsidR="00322933" w:rsidRPr="00322B1D">
              <w:rPr>
                <w:rFonts w:ascii="Times New Roman" w:hAnsi="Times New Roman" w:cs="Times New Roman"/>
                <w:color w:val="000000" w:themeColor="text1"/>
              </w:rPr>
              <w:br/>
            </w:r>
            <w:r w:rsidRPr="00322B1D">
              <w:rPr>
                <w:rFonts w:ascii="Times New Roman" w:hAnsi="Times New Roman" w:cs="Times New Roman"/>
                <w:color w:val="000000" w:themeColor="text1"/>
              </w:rPr>
              <w:t>năm tính thuế thứ 2</w:t>
            </w:r>
          </w:p>
        </w:tc>
        <w:tc>
          <w:tcPr>
            <w:tcW w:w="101" w:type="pct"/>
            <w:vAlign w:val="center"/>
          </w:tcPr>
          <w:p w14:paraId="7514CB55" w14:textId="77777777" w:rsidR="009166B8" w:rsidRPr="00322B1D" w:rsidRDefault="00A04B29"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x</w:t>
            </w:r>
          </w:p>
        </w:tc>
        <w:tc>
          <w:tcPr>
            <w:tcW w:w="1422" w:type="pct"/>
            <w:vAlign w:val="center"/>
          </w:tcPr>
          <w:p w14:paraId="7DD5CF8C" w14:textId="02B4ADC8" w:rsidR="009166B8" w:rsidRPr="00322B1D" w:rsidRDefault="00A04B29"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Thuế suất thuế thu</w:t>
            </w:r>
            <w:r w:rsidR="00322933" w:rsidRPr="00322B1D">
              <w:rPr>
                <w:rFonts w:ascii="Times New Roman" w:hAnsi="Times New Roman" w:cs="Times New Roman"/>
                <w:color w:val="000000" w:themeColor="text1"/>
              </w:rPr>
              <w:br/>
            </w:r>
            <w:r w:rsidRPr="00322B1D">
              <w:rPr>
                <w:rFonts w:ascii="Times New Roman" w:hAnsi="Times New Roman" w:cs="Times New Roman"/>
                <w:color w:val="000000" w:themeColor="text1"/>
              </w:rPr>
              <w:t>nhập cá nhân</w:t>
            </w:r>
          </w:p>
        </w:tc>
      </w:tr>
    </w:tbl>
    <w:p w14:paraId="19420ECD" w14:textId="42C4005D" w:rsidR="009166B8" w:rsidRPr="00322B1D" w:rsidRDefault="009166B8" w:rsidP="00322933">
      <w:pPr>
        <w:adjustRightInd w:val="0"/>
        <w:snapToGrid w:val="0"/>
        <w:spacing w:after="0" w:line="240" w:lineRule="auto"/>
        <w:jc w:val="center"/>
        <w:rPr>
          <w:rFonts w:ascii="Times New Roman" w:hAnsi="Times New Roman" w:cs="Times New Roman"/>
          <w:color w:val="000000" w:themeColor="text1"/>
        </w:rPr>
      </w:pPr>
    </w:p>
    <w:tbl>
      <w:tblPr>
        <w:tblW w:w="5000" w:type="pct"/>
        <w:tblCellMar>
          <w:left w:w="10" w:type="dxa"/>
          <w:right w:w="10" w:type="dxa"/>
        </w:tblCellMar>
        <w:tblLook w:val="07E0" w:firstRow="1" w:lastRow="1" w:firstColumn="1" w:lastColumn="1" w:noHBand="1" w:noVBand="1"/>
      </w:tblPr>
      <w:tblGrid>
        <w:gridCol w:w="2614"/>
        <w:gridCol w:w="222"/>
        <w:gridCol w:w="4666"/>
        <w:gridCol w:w="195"/>
        <w:gridCol w:w="1960"/>
      </w:tblGrid>
      <w:tr w:rsidR="00322933" w:rsidRPr="00322B1D" w14:paraId="46A0D74B" w14:textId="77777777" w:rsidTr="007D5FDE">
        <w:trPr>
          <w:trHeight w:val="20"/>
        </w:trPr>
        <w:tc>
          <w:tcPr>
            <w:tcW w:w="1353" w:type="pct"/>
            <w:vMerge w:val="restart"/>
            <w:vAlign w:val="center"/>
          </w:tcPr>
          <w:p w14:paraId="78E0A3DE" w14:textId="394BFA2E"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thuế tính trùng</w:t>
            </w:r>
            <w:r w:rsidRPr="00322B1D">
              <w:rPr>
                <w:rFonts w:ascii="Times New Roman" w:hAnsi="Times New Roman" w:cs="Times New Roman"/>
                <w:color w:val="000000" w:themeColor="text1"/>
              </w:rPr>
              <w:br/>
              <w:t>được trừ</w:t>
            </w:r>
          </w:p>
        </w:tc>
        <w:tc>
          <w:tcPr>
            <w:tcW w:w="115" w:type="pct"/>
            <w:vMerge w:val="restart"/>
            <w:vAlign w:val="center"/>
          </w:tcPr>
          <w:p w14:paraId="5CFB67D8" w14:textId="77777777"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w:t>
            </w:r>
          </w:p>
        </w:tc>
        <w:tc>
          <w:tcPr>
            <w:tcW w:w="2416" w:type="pct"/>
            <w:tcBorders>
              <w:bottom w:val="single" w:sz="4" w:space="0" w:color="auto"/>
            </w:tcBorders>
            <w:vAlign w:val="center"/>
          </w:tcPr>
          <w:p w14:paraId="27EE4C3C" w14:textId="77C71965"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thuế phải nộp trong năm tính</w:t>
            </w:r>
            <w:r w:rsidRPr="00322B1D">
              <w:rPr>
                <w:rFonts w:ascii="Times New Roman" w:hAnsi="Times New Roman" w:cs="Times New Roman"/>
                <w:color w:val="000000" w:themeColor="text1"/>
              </w:rPr>
              <w:br/>
              <w:t>thuế thứ nhất</w:t>
            </w:r>
          </w:p>
        </w:tc>
        <w:tc>
          <w:tcPr>
            <w:tcW w:w="101" w:type="pct"/>
            <w:vMerge w:val="restart"/>
            <w:vAlign w:val="center"/>
          </w:tcPr>
          <w:p w14:paraId="7BEF50B7" w14:textId="77777777"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x</w:t>
            </w:r>
          </w:p>
        </w:tc>
        <w:tc>
          <w:tcPr>
            <w:tcW w:w="1015" w:type="pct"/>
            <w:vMerge w:val="restart"/>
            <w:vAlign w:val="center"/>
          </w:tcPr>
          <w:p w14:paraId="26A5EDCF" w14:textId="4F63B326"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Số tháng tính</w:t>
            </w:r>
            <w:r w:rsidRPr="00322B1D">
              <w:rPr>
                <w:rFonts w:ascii="Times New Roman" w:hAnsi="Times New Roman" w:cs="Times New Roman"/>
                <w:color w:val="000000" w:themeColor="text1"/>
              </w:rPr>
              <w:br/>
              <w:t>trùng</w:t>
            </w:r>
          </w:p>
        </w:tc>
      </w:tr>
      <w:tr w:rsidR="00322933" w:rsidRPr="00322B1D" w14:paraId="15D95DBA" w14:textId="77777777" w:rsidTr="007D5FDE">
        <w:trPr>
          <w:trHeight w:val="20"/>
        </w:trPr>
        <w:tc>
          <w:tcPr>
            <w:tcW w:w="1353" w:type="pct"/>
            <w:vMerge/>
            <w:vAlign w:val="center"/>
          </w:tcPr>
          <w:p w14:paraId="237041D2" w14:textId="744ECFC4"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c>
        <w:tc>
          <w:tcPr>
            <w:tcW w:w="115" w:type="pct"/>
            <w:vMerge/>
            <w:vAlign w:val="center"/>
          </w:tcPr>
          <w:p w14:paraId="2499EC82" w14:textId="0E858632"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c>
        <w:tc>
          <w:tcPr>
            <w:tcW w:w="2416" w:type="pct"/>
            <w:tcBorders>
              <w:top w:val="single" w:sz="4" w:space="0" w:color="auto"/>
            </w:tcBorders>
            <w:vAlign w:val="center"/>
          </w:tcPr>
          <w:p w14:paraId="4012FB30" w14:textId="77777777"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12</w:t>
            </w:r>
          </w:p>
        </w:tc>
        <w:tc>
          <w:tcPr>
            <w:tcW w:w="101" w:type="pct"/>
            <w:vMerge/>
            <w:vAlign w:val="center"/>
          </w:tcPr>
          <w:p w14:paraId="333B309D" w14:textId="3379E689"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c>
        <w:tc>
          <w:tcPr>
            <w:tcW w:w="1015" w:type="pct"/>
            <w:vMerge/>
            <w:vAlign w:val="center"/>
          </w:tcPr>
          <w:p w14:paraId="00C4B827" w14:textId="668DDC5A"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c>
      </w:tr>
    </w:tbl>
    <w:p w14:paraId="4EED6CD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Kỳ tính thuế theo từng lần phát sinh thu nhập áp dụng đối với thu nhập từ đầu tư vốn; thu nhập từ chuyển nhượng vốn, bao gồm cả thu nhập từ chuyển nhượng chứng khoán; thu nhập từ chuyển nhượng bất động sản; thu nhập từ trúng thưởng; thu nhập từ tiền bản quyền; thu nhập từ nhượng quyền thương mại; thu nhập từ nhận thừa kế, quà tặng; thu nhập khác.</w:t>
      </w:r>
    </w:p>
    <w:p w14:paraId="0574F89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Đối với cá nhân không cư trú, kỳ tính thuế được xác định như sau:</w:t>
      </w:r>
    </w:p>
    <w:p w14:paraId="737091EA"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Kỳ tính thuế đối với cá nhân không cư trú được tính theo từng lần phát sinh thu nhập.</w:t>
      </w:r>
    </w:p>
    <w:p w14:paraId="409AA38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67. Khấu trừ thuế, khai thuế thay, nộp thuế thay</w:t>
      </w:r>
    </w:p>
    <w:p w14:paraId="07809D6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1. Tổ chức, cá nhân chi trả thu nhập (kể cả chủ quản nền tảng thương mại điện tử, nền tảng số khác có chức năng đặt hàng trực tuyến và chức năng thanh toán, tổ chức ký hợp đồng làm đại lý bán đúng giá đối với hoạt động bảo hiểm, xổ số, bán hàng đa cấp, tổ chức ký hợp đồng với cá nhân thực hiện hoạt động môi giới; tổ chức, cá nhân trả thu nhập cho cá nhân không cư trú; tổ chức, cá nhân là bên Việt Nam hoàn trả chi phí tiền lương, tiền công cho bên nước ngoài) trước khi chi trả các khoản thu nhập cho cá nhân có trách nhiệm thực hiện khấu trừ và nộp số thuế đã khấu trừ của người nộp thuế, trừ các khoản thu nhập quy định tại khoản 4 Điều này.</w:t>
      </w:r>
    </w:p>
    <w:p w14:paraId="6C23621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Tổ chức, cá nhân quy định tại các khoản 2, 3 và 4 Điều 55, khoản 3 và khoản 5 Điều 56, điểm b, d khoản 5 và điểm c, d, đ khoản 6 Điều 57 của Nghị định này và tổ chức hợp tác kinh doanh với cá nhân thực hiện khai thuế thay, nộp thuế thay cho người nộp thuế.</w:t>
      </w:r>
    </w:p>
    <w:p w14:paraId="2476045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Số thuế phải khấu trừ được xác định theo số thuế thu nhập cá nhân phải nộp và số thuế thu nhập cá nhân tạm nộp đối với thu nhập từ tiền lương, tiền công thực hiện theo quy định tại Chương IV và Chương V của Nghị định này.</w:t>
      </w:r>
    </w:p>
    <w:p w14:paraId="5E9223B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Số thuế phải khấu trừ, khai thay, nộp thay của cá nhân cư trú có thu nhập từ hoạt động kinh doanh quy định tại khoản 1 Điều này được xác định theo thuế suất quy định tại khoản 3 Điều 7 Luật Thuế thu nhập cá nhân trên doanh thu tính thuế phát sinh tại tổ chức. Việc xác định số thuế phải khấu trừ của cá nhân kinh doanh trên nền tảng thương mại điện tử, nền tảng số khác thực hiện theo quy định của pháp luật về quản lý thuế.</w:t>
      </w:r>
    </w:p>
    <w:p w14:paraId="2770618C"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Trường hợp trong năm tổ chức, cá nhân trả thu nhập chưa thực hiện khấu trừ thuế, cuối năm cá nhân xác định thuộc trường hợp phải nộp thuế theo quy định thì cá nhân thực hiện khai và nộp thuế theo năm.</w:t>
      </w:r>
    </w:p>
    <w:p w14:paraId="1D5AF15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Hồ sơ, thủ tục khấu trừ thuế, khai thuế thay, nộp thuế thay thực hiện theo quy định của pháp luật về quản lý thuế.</w:t>
      </w:r>
    </w:p>
    <w:p w14:paraId="44E9099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Các loại thu nhập không thực hiện khấu trừ thuế, khai thuế thay, nộp thuế thay, bao gồm:</w:t>
      </w:r>
    </w:p>
    <w:p w14:paraId="3B20E8A7"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Thu nhập từ kinh doanh của cá nhân cư trú, trừ thu nhập từ hoạt động kinh doanh thông qua chủ quản nền tảng thương mại điện tử, nền tảng số có chức năng đặt hàng trực tuyến và chức năng thanh toán, thu nhập từ hoạt động hợp tác kinh doanh với tổ chức, thu nhập từ hoạt động làm đại lý bán đúng giá đối với hoạt động bảo hiểm, xổ số, bán hàng đa cấp, thu nhập từ thực hiện hoạt động môi giới ký hợp đồng với tổ chức;</w:t>
      </w:r>
    </w:p>
    <w:p w14:paraId="788A147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Thu nhập từ chuyển nhượng vốn của cá nhân cư trú, trừ quy định tại các khoản 2, 3 và 5 Điều 56 của Nghị định này;</w:t>
      </w:r>
    </w:p>
    <w:p w14:paraId="6441576D"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Thu nhập từ chuyển nhượng bất động sản, trừ quy định tại các điểm b, d khoản 5, điểm c, d và điểm đ khoản 6 Điều 57 của Nghị định này;</w:t>
      </w:r>
    </w:p>
    <w:p w14:paraId="39C3E43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d) Thu nhập từ nhận thừa kế, quà tặng.</w:t>
      </w:r>
    </w:p>
    <w:p w14:paraId="2B16CFD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5. Trường hợp cá nhân nhận được thu nhập do tổ chức, cá nhân khác chi trả mà tổ chức, cá nhân chi trả chưa thực hiện khấu trừ thuế, khai thuế thay, nộp thuế thay, cá nhân nhận được thu nhập do tổ chức nước ngoài không đăng ký thuế tại Việt Nam chi trả và các trường hợp quy định tại khoản 4 Điều này thì cá nhân nhận thu nhập phải thực hiện kê khai, nộp thuế theo quy định của pháp luật về quản lý thuế và quy định tại Nghị định này.</w:t>
      </w:r>
    </w:p>
    <w:p w14:paraId="2531793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68. Quyết toán thuế, hoàn thuế</w:t>
      </w:r>
    </w:p>
    <w:p w14:paraId="7603758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Việc quyết toán thuế thu nhập cá nhân được thực hiện theo quy định của pháp luật về quản lý thuế và Nghị định này.</w:t>
      </w:r>
    </w:p>
    <w:p w14:paraId="7DC10B11"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Cá nhân được hoàn thuế trong các trường hợp sau đây:</w:t>
      </w:r>
    </w:p>
    <w:p w14:paraId="71D28694"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Số tiền thuế đã nộp lớn hơn số thuế phải nộp;</w:t>
      </w:r>
    </w:p>
    <w:p w14:paraId="3481E24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Cá nhân đã nộp thuế nhưng có thu nhập tính thuế chưa đến mức phải nộp thuế;</w:t>
      </w:r>
    </w:p>
    <w:p w14:paraId="75D1FFF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c) Các trường hợp khác theo quyết định của cơ quan nhà nước có thẩm quyền.</w:t>
      </w:r>
    </w:p>
    <w:p w14:paraId="1455F948"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3. Việc quyết toán thuế, hoàn thuế đối với thu nhập từ kinh doanh của cá nhân cư trú thực hiện theo quy định tại Nghị định số 68/2026/NĐ-CP, các văn bản sửa đổi, bổ sung và pháp luật về quản lý thuế.</w:t>
      </w:r>
    </w:p>
    <w:p w14:paraId="41490284" w14:textId="77777777" w:rsidR="009166B8" w:rsidRPr="00322B1D" w:rsidRDefault="00A04B29" w:rsidP="00322933">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Hồ sơ, thủ tục quyết toán thuế, hoàn thuế thu nhập cá nhân thực hiện theo quy định của pháp luật về quản lý thuế.</w:t>
      </w:r>
    </w:p>
    <w:p w14:paraId="48DC66F5" w14:textId="77777777"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p w14:paraId="1B7127A1" w14:textId="77777777" w:rsidR="00322933" w:rsidRPr="00322B1D" w:rsidRDefault="00A04B29" w:rsidP="00322933">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 xml:space="preserve">Chương VII </w:t>
      </w:r>
    </w:p>
    <w:p w14:paraId="28F2671C" w14:textId="5F0A0136" w:rsidR="009166B8" w:rsidRPr="00322B1D" w:rsidRDefault="00A04B29" w:rsidP="00322933">
      <w:pPr>
        <w:adjustRightInd w:val="0"/>
        <w:snapToGrid w:val="0"/>
        <w:spacing w:after="0" w:line="240" w:lineRule="auto"/>
        <w:jc w:val="center"/>
        <w:rPr>
          <w:rFonts w:ascii="Times New Roman" w:hAnsi="Times New Roman" w:cs="Times New Roman"/>
          <w:b/>
          <w:color w:val="000000" w:themeColor="text1"/>
        </w:rPr>
      </w:pPr>
      <w:r w:rsidRPr="00322B1D">
        <w:rPr>
          <w:rFonts w:ascii="Times New Roman" w:hAnsi="Times New Roman" w:cs="Times New Roman"/>
          <w:b/>
          <w:color w:val="000000" w:themeColor="text1"/>
        </w:rPr>
        <w:t>ĐIỀU KHOẢN THI HÀNH</w:t>
      </w:r>
    </w:p>
    <w:p w14:paraId="5D1F5F31" w14:textId="77777777"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p w14:paraId="766A58E3"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69. Hiệu lực thi hành</w:t>
      </w:r>
    </w:p>
    <w:p w14:paraId="68E0F3C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1. Nghị định này có </w:t>
      </w:r>
      <w:r w:rsidRPr="00322E72">
        <w:rPr>
          <w:rFonts w:ascii="Times New Roman" w:hAnsi="Times New Roman" w:cs="Times New Roman"/>
          <w:color w:val="000000" w:themeColor="text1"/>
          <w:u w:val="single"/>
        </w:rPr>
        <w:t>hiệu lực thi hành từ ngày 01 tháng 7 năm 2026</w:t>
      </w:r>
      <w:r w:rsidRPr="00322B1D">
        <w:rPr>
          <w:rFonts w:ascii="Times New Roman" w:hAnsi="Times New Roman" w:cs="Times New Roman"/>
          <w:color w:val="000000" w:themeColor="text1"/>
        </w:rPr>
        <w:t>. Việc xác định thời gian áp dụng trong một số trường hợp cụ thể như sau:</w:t>
      </w:r>
    </w:p>
    <w:p w14:paraId="18F3ED2F"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a) Các quy định liên quan đến thu nhập từ kinh doanh, từ tiền lương, tiền công của cá nhân cư trú áp dụng từ kỳ tính thuế năm 2026;</w:t>
      </w:r>
    </w:p>
    <w:p w14:paraId="60DEF52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b) Quy định về tiền ăn giữa ca, tiền ăn trưa quy định tại điểm g khoản 2 Điều 8 của Nghị định này áp dụng từ ngày 01 tháng 7 năm 2026.</w:t>
      </w:r>
    </w:p>
    <w:p w14:paraId="646F7ACF" w14:textId="00CD6C1A"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2. Nghị định này thay thế Nghị định số </w:t>
      </w:r>
      <w:hyperlink r:id="rId20" w:history="1">
        <w:r>
          <w:rPr>
            <w:rStyle w:val="Hyperlink"/>
            <w:rFonts w:ascii="Times New Roman" w:hAnsi="Times New Roman" w:cs="Times New Roman"/>
          </w:rPr>
          <w:t>65/2013/NĐ-CP</w:t>
        </w:r>
      </w:hyperlink>
      <w:r w:rsidRPr="00322B1D">
        <w:rPr>
          <w:rFonts w:ascii="Times New Roman" w:hAnsi="Times New Roman" w:cs="Times New Roman"/>
          <w:color w:val="000000" w:themeColor="text1"/>
        </w:rPr>
        <w:t xml:space="preserve"> ngày 27 tháng 6 năm 2013 của Chính phủ quy định chi tiết một số điều của Luật Thuế thu nhập cá nhân và Luật sửa đổi, bổ sung một số điều của Luật Thuế thu nhập cá nhân.</w:t>
      </w:r>
    </w:p>
    <w:p w14:paraId="23C74665"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3. Nghị định này bãi bỏ các quy định tại:</w:t>
      </w:r>
    </w:p>
    <w:p w14:paraId="2EE45973" w14:textId="7AD36BEF"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a) Điều 3 Nghị định số </w:t>
      </w:r>
      <w:hyperlink r:id="rId21" w:history="1">
        <w:r>
          <w:rPr>
            <w:rStyle w:val="Hyperlink"/>
            <w:rFonts w:ascii="Times New Roman" w:hAnsi="Times New Roman" w:cs="Times New Roman"/>
          </w:rPr>
          <w:t>91/2014/NĐ-CP</w:t>
        </w:r>
      </w:hyperlink>
      <w:r w:rsidRPr="00322B1D">
        <w:rPr>
          <w:rFonts w:ascii="Times New Roman" w:hAnsi="Times New Roman" w:cs="Times New Roman"/>
          <w:color w:val="000000" w:themeColor="text1"/>
        </w:rPr>
        <w:t xml:space="preserve"> ngày 01 tháng 10 năm 2014 của Chính phủ sửa đổi, bổ sung một số điều tại các Nghị định quy định về thuế;</w:t>
      </w:r>
    </w:p>
    <w:p w14:paraId="09485291" w14:textId="7959CD4C"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b) Điều 2 Nghị định số </w:t>
      </w:r>
      <w:hyperlink r:id="rId22" w:history="1">
        <w:r>
          <w:rPr>
            <w:rStyle w:val="Hyperlink"/>
            <w:rFonts w:ascii="Times New Roman" w:hAnsi="Times New Roman" w:cs="Times New Roman"/>
          </w:rPr>
          <w:t>12/2015/NĐ-CP</w:t>
        </w:r>
      </w:hyperlink>
      <w:r w:rsidRPr="00322B1D">
        <w:rPr>
          <w:rFonts w:ascii="Times New Roman" w:hAnsi="Times New Roman" w:cs="Times New Roman"/>
          <w:color w:val="000000" w:themeColor="text1"/>
        </w:rPr>
        <w:t xml:space="preserve"> ngày 12 tháng 02 năm 2015 của Chính phủ quy định chi tiết thi hành Luật sửa đổi, bổ sung một số điều tại các Luật về thuế và sửa đổi, bổ sung một số điều của các Nghị định về thuế.</w:t>
      </w:r>
    </w:p>
    <w:p w14:paraId="36944A9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4. Trường hợp các văn bản quy phạm pháp luật quy định viện dẫn tại Nghị định này được sửa đổi, bổ sung hoặc thay thế thì thực hiện theo văn bản được sửa đổi, bổ sung hoặc thay thế đó.</w:t>
      </w:r>
    </w:p>
    <w:p w14:paraId="71FE2206"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70. Điều khoản chuyển tiếp</w:t>
      </w:r>
    </w:p>
    <w:p w14:paraId="3D6C2F99"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1. Thời hạn đăng ký người phụ thuộc và thời hạn nộp hồ sơ chứng minh người phụ thuộc của kỳ tính thuế năm 2025 trở về trước thực hiện theo quy định tại các văn bản quy phạm pháp luật về thuế thu nhập cá nhân trước ngày Nghị định này có hiệu lực thi hành.</w:t>
      </w:r>
    </w:p>
    <w:p w14:paraId="7A6ADE50"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2. Các trường hợp đã kê khai, nộp thuế đối với thu nhập từ tiền lương, tiền công cho kỳ tính thuế năm 2026 trong thời gian kể từ ngày 01 tháng 01 năm 2026 đến trước ngày Nghị định này có hiệu lực thi hành theo quy định tại các văn bản quy phạm pháp luật về thuế thu nhập cá nhân áp dụng trước thời điểm Nghị định này có hiệu lực thi hành thì không phải nộp lại hồ sơ khai thuế tháng, quý mà thực hiện điều chỉnh vào hồ sơ khai quyết toán thuế năm 2026.</w:t>
      </w:r>
    </w:p>
    <w:p w14:paraId="70DFAC2E" w14:textId="77777777"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Điều 71. Trách nhiệm thi hành</w:t>
      </w:r>
    </w:p>
    <w:p w14:paraId="4FDD4A22" w14:textId="1DDD5786" w:rsidR="009166B8" w:rsidRPr="00322B1D" w:rsidRDefault="00A04B29" w:rsidP="001C36A2">
      <w:pPr>
        <w:adjustRightInd w:val="0"/>
        <w:snapToGrid w:val="0"/>
        <w:spacing w:after="12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1. Bộ trưởng Bộ Tài chính quy định chi tiết các điều, khoản được giao tại Nghị định và hướng dẫn thực hiện Nghị định này theo chức năng, nhiệm vụ, đảm bảo yêu cầu quản lý. </w:t>
      </w:r>
    </w:p>
    <w:p w14:paraId="7771EA11" w14:textId="13E866AC" w:rsidR="009166B8" w:rsidRPr="00322B1D" w:rsidRDefault="00A04B29" w:rsidP="00322933">
      <w:pPr>
        <w:adjustRightInd w:val="0"/>
        <w:snapToGrid w:val="0"/>
        <w:spacing w:after="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2. Các Bộ trưởng, Thủ trưởng cơ quan ngang bộ, Chủ tịch </w:t>
      </w:r>
      <w:r w:rsidR="001C36A2" w:rsidRPr="00322B1D">
        <w:rPr>
          <w:rFonts w:ascii="Times New Roman" w:hAnsi="Times New Roman" w:cs="Times New Roman"/>
          <w:color w:val="000000" w:themeColor="text1"/>
        </w:rPr>
        <w:t>Ủy ban</w:t>
      </w:r>
      <w:r w:rsidRPr="00322B1D">
        <w:rPr>
          <w:rFonts w:ascii="Times New Roman" w:hAnsi="Times New Roman" w:cs="Times New Roman"/>
          <w:color w:val="000000" w:themeColor="text1"/>
        </w:rPr>
        <w:t xml:space="preserve"> nhân dân tỉnh, thành phố trực thuộc trung ương và các tổ chức, cá nhân có liên quan chịu trách nhiệm thi hành Nghị định này.</w:t>
      </w:r>
    </w:p>
    <w:p w14:paraId="1D169483" w14:textId="77777777" w:rsidR="00322933" w:rsidRPr="00322B1D" w:rsidRDefault="00322933" w:rsidP="00322933">
      <w:pPr>
        <w:adjustRightInd w:val="0"/>
        <w:snapToGrid w:val="0"/>
        <w:spacing w:after="0" w:line="240" w:lineRule="auto"/>
        <w:jc w:val="center"/>
        <w:rPr>
          <w:rFonts w:ascii="Times New Roman" w:hAnsi="Times New Roman" w:cs="Times New Roman"/>
          <w:color w:val="000000" w:themeColor="text1"/>
        </w:rPr>
      </w:pPr>
    </w:p>
    <w:tbl>
      <w:tblPr>
        <w:tblW w:w="5000" w:type="pct"/>
        <w:tblCellMar>
          <w:left w:w="10" w:type="dxa"/>
          <w:right w:w="10" w:type="dxa"/>
        </w:tblCellMar>
        <w:tblLook w:val="07E0" w:firstRow="1" w:lastRow="1" w:firstColumn="1" w:lastColumn="1" w:noHBand="1" w:noVBand="1"/>
      </w:tblPr>
      <w:tblGrid>
        <w:gridCol w:w="4828"/>
        <w:gridCol w:w="4829"/>
      </w:tblGrid>
      <w:tr w:rsidR="001C36A2" w:rsidRPr="00322B1D" w14:paraId="0541FA93" w14:textId="77777777" w:rsidTr="007D5FDE">
        <w:tc>
          <w:tcPr>
            <w:tcW w:w="2500" w:type="pct"/>
          </w:tcPr>
          <w:p w14:paraId="3C590095" w14:textId="044D854B" w:rsidR="009166B8" w:rsidRPr="00322B1D" w:rsidRDefault="009166B8" w:rsidP="00322933">
            <w:pPr>
              <w:adjustRightInd w:val="0"/>
              <w:snapToGrid w:val="0"/>
              <w:spacing w:after="0" w:line="240" w:lineRule="auto"/>
              <w:rPr>
                <w:rFonts w:ascii="Times New Roman" w:hAnsi="Times New Roman" w:cs="Times New Roman"/>
                <w:color w:val="000000" w:themeColor="text1"/>
              </w:rPr>
            </w:pPr>
          </w:p>
        </w:tc>
        <w:tc>
          <w:tcPr>
            <w:tcW w:w="2500" w:type="pct"/>
          </w:tcPr>
          <w:p w14:paraId="598959AC" w14:textId="5A074B2B" w:rsidR="009166B8" w:rsidRPr="00322B1D" w:rsidRDefault="00A04B29"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TM. CHÍNH PHỦ</w:t>
            </w:r>
            <w:r w:rsidR="00322933"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KT. THỦ TƯỚNG</w:t>
            </w:r>
            <w:r w:rsidR="00322933"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PHÓ THỦ TƯỚNG</w:t>
            </w:r>
            <w:r w:rsidRPr="00322B1D">
              <w:rPr>
                <w:rFonts w:ascii="Times New Roman" w:hAnsi="Times New Roman" w:cs="Times New Roman"/>
                <w:color w:val="000000" w:themeColor="text1"/>
              </w:rPr>
              <w:br/>
            </w:r>
            <w:r w:rsidRPr="00322B1D">
              <w:rPr>
                <w:rFonts w:ascii="Times New Roman" w:hAnsi="Times New Roman" w:cs="Times New Roman"/>
                <w:color w:val="000000" w:themeColor="text1"/>
              </w:rPr>
              <w:br/>
            </w:r>
            <w:r w:rsidRPr="00322B1D">
              <w:rPr>
                <w:rFonts w:ascii="Times New Roman" w:hAnsi="Times New Roman" w:cs="Times New Roman"/>
                <w:color w:val="000000" w:themeColor="text1"/>
              </w:rPr>
              <w:br/>
            </w:r>
            <w:r w:rsidRPr="00322B1D">
              <w:rPr>
                <w:rFonts w:ascii="Times New Roman" w:hAnsi="Times New Roman" w:cs="Times New Roman"/>
                <w:color w:val="000000" w:themeColor="text1"/>
              </w:rPr>
              <w:br/>
            </w:r>
            <w:r w:rsidRPr="00322B1D">
              <w:rPr>
                <w:rFonts w:ascii="Times New Roman" w:hAnsi="Times New Roman" w:cs="Times New Roman"/>
                <w:color w:val="000000" w:themeColor="text1"/>
              </w:rPr>
              <w:lastRenderedPageBreak/>
              <w:br/>
            </w:r>
            <w:r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Nguyễn Văn Thắng</w:t>
            </w:r>
          </w:p>
        </w:tc>
      </w:tr>
    </w:tbl>
    <w:p w14:paraId="75C348F4" w14:textId="77777777" w:rsidR="00322933" w:rsidRPr="00322B1D" w:rsidRDefault="00322933" w:rsidP="001C36A2">
      <w:pPr>
        <w:adjustRightInd w:val="0"/>
        <w:snapToGrid w:val="0"/>
        <w:spacing w:after="120" w:line="240" w:lineRule="auto"/>
        <w:ind w:firstLine="720"/>
        <w:jc w:val="both"/>
        <w:rPr>
          <w:rFonts w:ascii="Times New Roman" w:hAnsi="Times New Roman" w:cs="Times New Roman"/>
          <w:b/>
          <w:color w:val="000000" w:themeColor="text1"/>
        </w:rPr>
      </w:pPr>
    </w:p>
    <w:p w14:paraId="30BC9738" w14:textId="77777777" w:rsidR="00322933" w:rsidRPr="00322B1D" w:rsidRDefault="00322933" w:rsidP="001C36A2">
      <w:pPr>
        <w:adjustRightInd w:val="0"/>
        <w:snapToGrid w:val="0"/>
        <w:spacing w:after="120" w:line="240" w:lineRule="auto"/>
        <w:ind w:firstLine="720"/>
        <w:jc w:val="both"/>
        <w:rPr>
          <w:rFonts w:ascii="Times New Roman" w:hAnsi="Times New Roman" w:cs="Times New Roman"/>
          <w:b/>
          <w:color w:val="000000" w:themeColor="text1"/>
        </w:rPr>
      </w:pPr>
    </w:p>
    <w:p w14:paraId="4E020B05" w14:textId="77777777" w:rsidR="00322933" w:rsidRPr="00322B1D" w:rsidRDefault="00322933" w:rsidP="001C36A2">
      <w:pPr>
        <w:adjustRightInd w:val="0"/>
        <w:snapToGrid w:val="0"/>
        <w:spacing w:after="120" w:line="240" w:lineRule="auto"/>
        <w:ind w:firstLine="720"/>
        <w:jc w:val="both"/>
        <w:rPr>
          <w:rFonts w:ascii="Times New Roman" w:hAnsi="Times New Roman" w:cs="Times New Roman"/>
          <w:b/>
          <w:color w:val="000000" w:themeColor="text1"/>
        </w:rPr>
        <w:sectPr w:rsidR="00322933" w:rsidRPr="00322B1D" w:rsidSect="00322E72">
          <w:footerReference w:type="default" r:id="rId23"/>
          <w:pgSz w:w="11906" w:h="16838" w:code="9"/>
          <w:pgMar w:top="851" w:right="851" w:bottom="851" w:left="1418" w:header="0" w:footer="0" w:gutter="0"/>
          <w:cols w:space="720"/>
          <w:docGrid w:linePitch="326"/>
        </w:sectPr>
      </w:pPr>
    </w:p>
    <w:p w14:paraId="4F3679C5" w14:textId="5FD2B026" w:rsidR="009166B8" w:rsidRPr="00322B1D" w:rsidRDefault="00A04B29"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lastRenderedPageBreak/>
        <w:t>Phụ lục</w:t>
      </w:r>
    </w:p>
    <w:p w14:paraId="60BCE070" w14:textId="4CE41F70" w:rsidR="009166B8" w:rsidRPr="00322B1D" w:rsidRDefault="00A04B29"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DANH MỤC NGÀNH, NGHỀ TÍNH THUẾ THU NHẬP CÁ NHÂN</w:t>
      </w:r>
      <w:r w:rsidR="00322933"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THEO THUẾ SUẤT TRÊN DOANH THU ĐỐI VỚI</w:t>
      </w:r>
      <w:r w:rsidR="00322933" w:rsidRPr="00322B1D">
        <w:rPr>
          <w:rFonts w:ascii="Times New Roman" w:hAnsi="Times New Roman" w:cs="Times New Roman"/>
          <w:color w:val="000000" w:themeColor="text1"/>
        </w:rPr>
        <w:br/>
      </w:r>
      <w:r w:rsidRPr="00322B1D">
        <w:rPr>
          <w:rFonts w:ascii="Times New Roman" w:hAnsi="Times New Roman" w:cs="Times New Roman"/>
          <w:b/>
          <w:color w:val="000000" w:themeColor="text1"/>
        </w:rPr>
        <w:t>CÁ NHÂN CƯ TRÚ CÓ THU NHẬP TỪ KINH DOANH</w:t>
      </w:r>
    </w:p>
    <w:p w14:paraId="62F2ABD0" w14:textId="06606CB4" w:rsidR="009166B8" w:rsidRPr="00322B1D" w:rsidRDefault="00A04B29" w:rsidP="00322933">
      <w:pPr>
        <w:adjustRightInd w:val="0"/>
        <w:snapToGrid w:val="0"/>
        <w:spacing w:after="0" w:line="240" w:lineRule="auto"/>
        <w:jc w:val="center"/>
        <w:rPr>
          <w:rFonts w:ascii="Times New Roman" w:hAnsi="Times New Roman" w:cs="Times New Roman"/>
          <w:color w:val="000000" w:themeColor="text1"/>
        </w:rPr>
      </w:pPr>
      <w:r w:rsidRPr="00322B1D">
        <w:rPr>
          <w:rFonts w:ascii="Times New Roman" w:hAnsi="Times New Roman" w:cs="Times New Roman"/>
          <w:i/>
          <w:color w:val="000000" w:themeColor="text1"/>
        </w:rPr>
        <w:t>(Kèm theo Nghị định số 253/2026/NĐ-CP</w:t>
      </w:r>
      <w:r w:rsidR="00322933" w:rsidRPr="00322B1D">
        <w:rPr>
          <w:rFonts w:ascii="Times New Roman" w:hAnsi="Times New Roman" w:cs="Times New Roman"/>
          <w:color w:val="000000" w:themeColor="text1"/>
        </w:rPr>
        <w:br/>
      </w:r>
      <w:r w:rsidRPr="00322B1D">
        <w:rPr>
          <w:rFonts w:ascii="Times New Roman" w:hAnsi="Times New Roman" w:cs="Times New Roman"/>
          <w:i/>
          <w:color w:val="000000" w:themeColor="text1"/>
        </w:rPr>
        <w:t>ngày 30 tháng 6 năm 2026 của Chính phủ)</w:t>
      </w:r>
    </w:p>
    <w:p w14:paraId="12B63D22" w14:textId="77777777" w:rsidR="009166B8" w:rsidRPr="00322B1D" w:rsidRDefault="009166B8" w:rsidP="00322933">
      <w:pPr>
        <w:adjustRightInd w:val="0"/>
        <w:snapToGrid w:val="0"/>
        <w:spacing w:after="0" w:line="240" w:lineRule="auto"/>
        <w:jc w:val="center"/>
        <w:rPr>
          <w:rFonts w:ascii="Times New Roman" w:hAnsi="Times New Roman" w:cs="Times New Roman"/>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67"/>
        <w:gridCol w:w="7088"/>
        <w:gridCol w:w="1391"/>
      </w:tblGrid>
      <w:tr w:rsidR="001C36A2" w:rsidRPr="00322B1D" w14:paraId="2365F76E" w14:textId="77777777" w:rsidTr="007D5FDE">
        <w:tc>
          <w:tcPr>
            <w:tcW w:w="313" w:type="pct"/>
          </w:tcPr>
          <w:p w14:paraId="7453EA69"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STT</w:t>
            </w:r>
          </w:p>
        </w:tc>
        <w:tc>
          <w:tcPr>
            <w:tcW w:w="3918" w:type="pct"/>
          </w:tcPr>
          <w:p w14:paraId="5254ACAA"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Danh mục ngành, nghề</w:t>
            </w:r>
          </w:p>
        </w:tc>
        <w:tc>
          <w:tcPr>
            <w:tcW w:w="769" w:type="pct"/>
          </w:tcPr>
          <w:p w14:paraId="1570CC9A"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Thuế suất</w:t>
            </w:r>
          </w:p>
        </w:tc>
      </w:tr>
      <w:tr w:rsidR="001C36A2" w:rsidRPr="00322B1D" w14:paraId="32440D65" w14:textId="77777777" w:rsidTr="007D5FDE">
        <w:tc>
          <w:tcPr>
            <w:tcW w:w="313" w:type="pct"/>
            <w:vMerge w:val="restart"/>
          </w:tcPr>
          <w:p w14:paraId="19D1F561"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1.</w:t>
            </w:r>
          </w:p>
        </w:tc>
        <w:tc>
          <w:tcPr>
            <w:tcW w:w="3918" w:type="pct"/>
          </w:tcPr>
          <w:p w14:paraId="26BF497B" w14:textId="77777777"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Phân phối, cung cấp hàng hóa quy định tại điểm b khoản 3 Điều 7 Luật Thuế thu nhập cá nhân.</w:t>
            </w:r>
          </w:p>
        </w:tc>
        <w:tc>
          <w:tcPr>
            <w:tcW w:w="769" w:type="pct"/>
          </w:tcPr>
          <w:p w14:paraId="1372B2DA" w14:textId="77777777" w:rsidR="009166B8" w:rsidRPr="00322B1D" w:rsidRDefault="009166B8" w:rsidP="00322933">
            <w:pPr>
              <w:adjustRightInd w:val="0"/>
              <w:snapToGrid w:val="0"/>
              <w:spacing w:before="40" w:after="40" w:line="240" w:lineRule="auto"/>
              <w:jc w:val="center"/>
              <w:rPr>
                <w:rFonts w:ascii="Times New Roman" w:hAnsi="Times New Roman" w:cs="Times New Roman"/>
                <w:color w:val="000000" w:themeColor="text1"/>
              </w:rPr>
            </w:pPr>
          </w:p>
        </w:tc>
      </w:tr>
      <w:tr w:rsidR="001C36A2" w:rsidRPr="00322B1D" w14:paraId="6CFF1CE2" w14:textId="77777777" w:rsidTr="007D5FDE">
        <w:tc>
          <w:tcPr>
            <w:tcW w:w="313" w:type="pct"/>
            <w:vMerge/>
          </w:tcPr>
          <w:p w14:paraId="77C29801" w14:textId="77777777" w:rsidR="009166B8" w:rsidRPr="00322B1D" w:rsidRDefault="009166B8" w:rsidP="00322933">
            <w:pPr>
              <w:adjustRightInd w:val="0"/>
              <w:snapToGrid w:val="0"/>
              <w:spacing w:before="40" w:after="40" w:line="240" w:lineRule="auto"/>
              <w:jc w:val="center"/>
              <w:rPr>
                <w:rFonts w:ascii="Times New Roman" w:hAnsi="Times New Roman" w:cs="Times New Roman"/>
                <w:color w:val="000000" w:themeColor="text1"/>
              </w:rPr>
            </w:pPr>
          </w:p>
        </w:tc>
        <w:tc>
          <w:tcPr>
            <w:tcW w:w="3918" w:type="pct"/>
            <w:vAlign w:val="bottom"/>
          </w:tcPr>
          <w:p w14:paraId="7F4E6707" w14:textId="20BEB039"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Hoạt động bán buôn, bán lẻ các loại hàng hóa (trừ giá trị hàng hóa đại lý bán đúng giá hưởng hoa hồng);</w:t>
            </w:r>
          </w:p>
          <w:p w14:paraId="7DD383BB" w14:textId="4E7B3F91"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Khoản thưởng, hỗ trợ đạt doanh số, khuyến mại, chiết khấu thanh toán, chi hỗ trợ bằng tiền hoặc không bằng tiền cho cá nhân kinh doanh;</w:t>
            </w:r>
          </w:p>
          <w:p w14:paraId="36719771" w14:textId="694274BE"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Hoạt động phân phối, cung cấp hàng hóa không chịu thuế giá trị gia tăng, không phải khai thuế giá trị gia tăng, thuộc diện chịu thuế giá trị gia tăng 0% theo pháp luật về thuế giá trị gia tăng;</w:t>
            </w:r>
          </w:p>
          <w:p w14:paraId="3ECBA34A" w14:textId="35857969"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Hoạt động hợp tác kinh doanh với tổ chức thuộc nhóm ngành nghề này mà tổ chức có trách nhiệm khai thuế giá trị gia tăng đối với toàn bộ doanh thu của hoạt động hợp tác kinh doanh theo quy định;</w:t>
            </w:r>
          </w:p>
          <w:p w14:paraId="25443489" w14:textId="5C8F898F"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Khoản thưởng, hỗ trợ đạt doanh số, khuyến mại, chiết khấu thanh toán, chi hỗ trợ bằng tiền hoặc không bằng tiền cho cá nhân kinh doanh gắn với mua hàng hóa, dịch vụ thuộc đối tượng không chịu thuế giá trị gia tăng, không phải khai thuế giá trị gia tăng, thuộc diện chịu thuế giá trị gia tăng 0% theo pháp luật về thuế giá trị gia tăng;</w:t>
            </w:r>
          </w:p>
          <w:p w14:paraId="44A03FC4" w14:textId="099D19AE"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Khoản bồi thường vi phạm hợp đồng, bồi thường khác.</w:t>
            </w:r>
          </w:p>
        </w:tc>
        <w:tc>
          <w:tcPr>
            <w:tcW w:w="769" w:type="pct"/>
            <w:vAlign w:val="center"/>
          </w:tcPr>
          <w:p w14:paraId="52BB0D6E"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0,5%</w:t>
            </w:r>
          </w:p>
        </w:tc>
      </w:tr>
      <w:tr w:rsidR="001C36A2" w:rsidRPr="00322B1D" w14:paraId="6E4EDC36" w14:textId="77777777" w:rsidTr="007D5FDE">
        <w:tc>
          <w:tcPr>
            <w:tcW w:w="313" w:type="pct"/>
            <w:vMerge w:val="restart"/>
          </w:tcPr>
          <w:p w14:paraId="120407D6"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2.</w:t>
            </w:r>
          </w:p>
        </w:tc>
        <w:tc>
          <w:tcPr>
            <w:tcW w:w="3918" w:type="pct"/>
          </w:tcPr>
          <w:p w14:paraId="3FAD486D" w14:textId="77777777"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Dịch vụ, xây dựng không bao thầu nguyên vật liệu quy định tại điểm c khoản 3 Điều 7 Luật Thuế thu nhập cá nhân.</w:t>
            </w:r>
          </w:p>
        </w:tc>
        <w:tc>
          <w:tcPr>
            <w:tcW w:w="769" w:type="pct"/>
          </w:tcPr>
          <w:p w14:paraId="75C05376" w14:textId="77777777" w:rsidR="009166B8" w:rsidRPr="00322B1D" w:rsidRDefault="009166B8" w:rsidP="00322933">
            <w:pPr>
              <w:adjustRightInd w:val="0"/>
              <w:snapToGrid w:val="0"/>
              <w:spacing w:before="40" w:after="40" w:line="240" w:lineRule="auto"/>
              <w:jc w:val="center"/>
              <w:rPr>
                <w:rFonts w:ascii="Times New Roman" w:hAnsi="Times New Roman" w:cs="Times New Roman"/>
                <w:color w:val="000000" w:themeColor="text1"/>
              </w:rPr>
            </w:pPr>
          </w:p>
        </w:tc>
      </w:tr>
      <w:tr w:rsidR="001C36A2" w:rsidRPr="00322B1D" w14:paraId="2E77F192" w14:textId="77777777" w:rsidTr="00A545AC">
        <w:tc>
          <w:tcPr>
            <w:tcW w:w="313" w:type="pct"/>
            <w:vMerge/>
          </w:tcPr>
          <w:p w14:paraId="6262F7AE" w14:textId="77777777" w:rsidR="009166B8" w:rsidRPr="00322B1D" w:rsidRDefault="009166B8" w:rsidP="00322933">
            <w:pPr>
              <w:adjustRightInd w:val="0"/>
              <w:snapToGrid w:val="0"/>
              <w:spacing w:before="40" w:after="40" w:line="240" w:lineRule="auto"/>
              <w:jc w:val="center"/>
              <w:rPr>
                <w:rFonts w:ascii="Times New Roman" w:hAnsi="Times New Roman" w:cs="Times New Roman"/>
                <w:color w:val="000000" w:themeColor="text1"/>
              </w:rPr>
            </w:pPr>
          </w:p>
        </w:tc>
        <w:tc>
          <w:tcPr>
            <w:tcW w:w="3918" w:type="pct"/>
            <w:vAlign w:val="bottom"/>
          </w:tcPr>
          <w:p w14:paraId="09C4B5FE" w14:textId="6AEEDCCF"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Dịch vụ lưu trú gồm: hoạt động cung cấp cơ sở lưu trú ngắn hạn cho khách du lịch, khách vãng lai khác; hoạt động cung cấp cơ sở lưu trú dài hạn không phải là căn hộ cho sinh viên, công nhân và những đối tượng tương tự; hoạt động cung cấp cơ sở lưu trú cùng dịch vụ ăn uống hoặc các phương tiện giải trí;</w:t>
            </w:r>
          </w:p>
          <w:p w14:paraId="171B8A4E" w14:textId="77777777" w:rsidR="00322933"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Dịch vụ bốc xếp hàng hóa và hoạt động dịch vụ hỗ trợ</w:t>
            </w:r>
            <w:r w:rsidR="00322933" w:rsidRPr="00322B1D">
              <w:rPr>
                <w:rFonts w:ascii="Times New Roman" w:hAnsi="Times New Roman" w:cs="Times New Roman"/>
                <w:color w:val="000000" w:themeColor="text1"/>
              </w:rPr>
              <w:t xml:space="preserve"> khác liên quan đến vận tải như kinh doanh bến bãi, bán vé, trông giữ phương tiện;</w:t>
            </w:r>
          </w:p>
          <w:p w14:paraId="1695982C"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Dịch vụ bưu chính, chuyển phát thư tín và bưu kiện;</w:t>
            </w:r>
          </w:p>
          <w:p w14:paraId="03FB8E8E"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Dịch vụ môi giới, đấu giá và hoa hồng đại lý;</w:t>
            </w:r>
          </w:p>
          <w:p w14:paraId="64988466"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Dịch vụ tư vấn pháp luật, tư vấn tài chính, kế toán, kiểm toán; dịch vụ làm thủ tục hành chính thuế, hải quan;</w:t>
            </w:r>
          </w:p>
          <w:p w14:paraId="4A1C1A57"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Dịch vụ xử lý dữ liệu, cho thuê cổng thông tin, thiết bị công nghệ thông tin, viễn thông, quảng cáo;</w:t>
            </w:r>
          </w:p>
          <w:p w14:paraId="332B5AEA"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Dịch vụ hỗ trợ văn phòng và các dịch vụ hỗ trợ kinh doanh khác;</w:t>
            </w:r>
          </w:p>
          <w:p w14:paraId="214B9EA6"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Dịch vụ tắm hơi, massage, karaoke, vũ trường, bi-a, internet;</w:t>
            </w:r>
          </w:p>
          <w:p w14:paraId="6D11FF66"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Dịch vụ may đo, giặt là; cắt tóc, làm đầu, gội đầu;</w:t>
            </w:r>
          </w:p>
          <w:p w14:paraId="667FD5A0"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ml:space="preserve">- Dịch vụ sửa chữa khác bao gồm: sửa chữa máy vi tính và các đồ </w:t>
            </w:r>
            <w:r w:rsidRPr="00322B1D">
              <w:rPr>
                <w:rFonts w:ascii="Times New Roman" w:hAnsi="Times New Roman" w:cs="Times New Roman"/>
                <w:color w:val="000000" w:themeColor="text1"/>
              </w:rPr>
              <w:lastRenderedPageBreak/>
              <w:t>dùng gia đình;</w:t>
            </w:r>
          </w:p>
          <w:p w14:paraId="513358C7"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Dịch vụ tư vấn, thiết kế, giám sát thi công xây dựng cơ bản;</w:t>
            </w:r>
          </w:p>
          <w:p w14:paraId="39E1BB96"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Các dịch vụ khác thuộc đối tượng tính thuế giá trị gia tăng theo phương pháp khấu trừ với mức thuế suất thuế giá trị gia tăng 10%;</w:t>
            </w:r>
          </w:p>
          <w:p w14:paraId="23E6358C" w14:textId="77777777"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Xây dựng, lắp đặt không bao thầu nguyên vật liệu (bao gồm cả lắp đặt máy móc, thiết bị công nghiệp);</w:t>
            </w:r>
          </w:p>
          <w:p w14:paraId="51A0FD59" w14:textId="2F8E1329"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Hoạt động cung cấp dịch vụ không chịu thuế gia tăng, không phải khai thuế</w:t>
            </w:r>
            <w:r w:rsidR="007A6B99"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gia tăng, thuộc diện chịu thuế giá trị gia tăng 0% theo pháp luật về thuế giá trị gia tăng;</w:t>
            </w:r>
          </w:p>
          <w:p w14:paraId="28240FBB" w14:textId="577E7AD3" w:rsidR="00322933"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Hoạt động hợp tác kinh doanh với tổ chức thuộc nhóm ngành nghề này mà tổ chức có trách nhiệm khai thuế giá trị gia tăng đối với toàn bộ doanh thu của hoạt động hợp tác kinh doanh theo quy định;</w:t>
            </w:r>
          </w:p>
          <w:p w14:paraId="5A867457" w14:textId="0A7C4EF4" w:rsidR="009166B8" w:rsidRPr="00322B1D" w:rsidRDefault="00322933"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Khoản bồi thường vi phạm hợp đồng, bồi thường khác.</w:t>
            </w:r>
          </w:p>
        </w:tc>
        <w:tc>
          <w:tcPr>
            <w:tcW w:w="769" w:type="pct"/>
            <w:vAlign w:val="center"/>
          </w:tcPr>
          <w:p w14:paraId="732A07BE" w14:textId="2A3AD462" w:rsidR="009166B8" w:rsidRPr="00322B1D" w:rsidRDefault="00322933" w:rsidP="00A545AC">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lastRenderedPageBreak/>
              <w:t>2%</w:t>
            </w:r>
          </w:p>
        </w:tc>
      </w:tr>
      <w:tr w:rsidR="001C36A2" w:rsidRPr="00322B1D" w14:paraId="2DD8355B" w14:textId="77777777" w:rsidTr="007D5FDE">
        <w:tc>
          <w:tcPr>
            <w:tcW w:w="313" w:type="pct"/>
            <w:vMerge/>
          </w:tcPr>
          <w:p w14:paraId="78B2E4A2" w14:textId="77777777" w:rsidR="009166B8" w:rsidRPr="00322B1D" w:rsidRDefault="009166B8" w:rsidP="00322933">
            <w:pPr>
              <w:adjustRightInd w:val="0"/>
              <w:snapToGrid w:val="0"/>
              <w:spacing w:before="40" w:after="40" w:line="240" w:lineRule="auto"/>
              <w:jc w:val="center"/>
              <w:rPr>
                <w:rFonts w:ascii="Times New Roman" w:hAnsi="Times New Roman" w:cs="Times New Roman"/>
                <w:color w:val="000000" w:themeColor="text1"/>
              </w:rPr>
            </w:pPr>
          </w:p>
        </w:tc>
        <w:tc>
          <w:tcPr>
            <w:tcW w:w="3918" w:type="pct"/>
          </w:tcPr>
          <w:p w14:paraId="01FA0F5F" w14:textId="2DF28460"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Cho thuê tài sản gồm:</w:t>
            </w:r>
          </w:p>
          <w:p w14:paraId="712C4E01" w14:textId="77777777"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Cho thuê nhà, đất, cửa hàng, nhà xưởng, kho bãi (trừ dịch vụ lưu trú);</w:t>
            </w:r>
          </w:p>
          <w:p w14:paraId="4BB979CC" w14:textId="77777777"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 Cho thuê phương tiện vận tải, máy móc thiết bị không kèm theo người điều khiển;</w:t>
            </w:r>
          </w:p>
          <w:p w14:paraId="25825436" w14:textId="190BE1FE" w:rsidR="009166B8" w:rsidRPr="00322B1D" w:rsidRDefault="001F37F1"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Cho thuê tài sản khác không kèm theo dịch vụ.</w:t>
            </w:r>
          </w:p>
          <w:p w14:paraId="13E571F0" w14:textId="18B8FAD4"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Làm đại lý xổ số, đại lý bảo hiểm, bán hàng đa cấp;</w:t>
            </w:r>
          </w:p>
          <w:p w14:paraId="6450C141" w14:textId="0B7B5E47"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Khoản bồi thường vi phạm hợp đồng, bồi thường khác.</w:t>
            </w:r>
          </w:p>
        </w:tc>
        <w:tc>
          <w:tcPr>
            <w:tcW w:w="769" w:type="pct"/>
            <w:vAlign w:val="center"/>
          </w:tcPr>
          <w:p w14:paraId="0912B5E1"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5%</w:t>
            </w:r>
          </w:p>
        </w:tc>
      </w:tr>
      <w:tr w:rsidR="001C36A2" w:rsidRPr="00322B1D" w14:paraId="4CB17E59" w14:textId="77777777" w:rsidTr="007D5FDE">
        <w:tc>
          <w:tcPr>
            <w:tcW w:w="313" w:type="pct"/>
            <w:vMerge w:val="restart"/>
          </w:tcPr>
          <w:p w14:paraId="14132A83"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3.</w:t>
            </w:r>
          </w:p>
        </w:tc>
        <w:tc>
          <w:tcPr>
            <w:tcW w:w="3918" w:type="pct"/>
          </w:tcPr>
          <w:p w14:paraId="3E529C76" w14:textId="77777777"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Sản xuất, vận tải, dịch vụ có gắn với hàng hóa, xây dựng có bao thầu nguyên vật liệu quy định tại điểm d khoản 3 Điều 7 Luật Thuế thu nhập cá nhân.</w:t>
            </w:r>
          </w:p>
        </w:tc>
        <w:tc>
          <w:tcPr>
            <w:tcW w:w="769" w:type="pct"/>
          </w:tcPr>
          <w:p w14:paraId="02492F8A" w14:textId="77777777" w:rsidR="009166B8" w:rsidRPr="00322B1D" w:rsidRDefault="009166B8" w:rsidP="00322933">
            <w:pPr>
              <w:adjustRightInd w:val="0"/>
              <w:snapToGrid w:val="0"/>
              <w:spacing w:before="40" w:after="40" w:line="240" w:lineRule="auto"/>
              <w:jc w:val="center"/>
              <w:rPr>
                <w:rFonts w:ascii="Times New Roman" w:hAnsi="Times New Roman" w:cs="Times New Roman"/>
                <w:color w:val="000000" w:themeColor="text1"/>
              </w:rPr>
            </w:pPr>
          </w:p>
        </w:tc>
      </w:tr>
      <w:tr w:rsidR="001C36A2" w:rsidRPr="00322B1D" w14:paraId="7ED23D71" w14:textId="77777777" w:rsidTr="007D5FDE">
        <w:tc>
          <w:tcPr>
            <w:tcW w:w="313" w:type="pct"/>
            <w:vMerge/>
          </w:tcPr>
          <w:p w14:paraId="50490588" w14:textId="77777777" w:rsidR="009166B8" w:rsidRPr="00322B1D" w:rsidRDefault="009166B8" w:rsidP="00322933">
            <w:pPr>
              <w:adjustRightInd w:val="0"/>
              <w:snapToGrid w:val="0"/>
              <w:spacing w:before="40" w:after="40" w:line="240" w:lineRule="auto"/>
              <w:jc w:val="center"/>
              <w:rPr>
                <w:rFonts w:ascii="Times New Roman" w:hAnsi="Times New Roman" w:cs="Times New Roman"/>
                <w:color w:val="000000" w:themeColor="text1"/>
              </w:rPr>
            </w:pPr>
          </w:p>
        </w:tc>
        <w:tc>
          <w:tcPr>
            <w:tcW w:w="3918" w:type="pct"/>
          </w:tcPr>
          <w:p w14:paraId="1C662426" w14:textId="16DC734E"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Sản xuất, gia công, chế biến sản phẩm hàng hóa;</w:t>
            </w:r>
          </w:p>
          <w:p w14:paraId="1585954E" w14:textId="224042F1"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Khai thác, chế biến khoáng sản;</w:t>
            </w:r>
          </w:p>
          <w:p w14:paraId="40BDA076" w14:textId="1654D598"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Vận tải hàng hóa, vận tải hành khách;</w:t>
            </w:r>
          </w:p>
          <w:p w14:paraId="45C1A183" w14:textId="4F92EAFB"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Dịch vụ kèm theo bán hàng hóa như dịch vụ đào tạo, bảo dưỡng, chuyển giao công nghệ kèm theo bán sản phẩm;</w:t>
            </w:r>
          </w:p>
          <w:p w14:paraId="305E05D8" w14:textId="524D72F4"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Dịch vụ ăn uống;</w:t>
            </w:r>
          </w:p>
          <w:p w14:paraId="2212EE7C" w14:textId="003FD755"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Dịch vụ sửa chữa và bảo dưỡng máy móc thiết bị, phương tiện vận tải, ô tô, mô tô, xe máy và xe có động cơ khác;</w:t>
            </w:r>
          </w:p>
          <w:p w14:paraId="4B53DBAB" w14:textId="2C347F71"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Xây dựng, lắp đặt có bao thầu nguyên vật liệu (bao gồm cả lắp đặt máy móc, thiết bị công nghiệp);</w:t>
            </w:r>
          </w:p>
          <w:p w14:paraId="6B1F1A0B" w14:textId="7509E84B"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Hoạt động khác thuộc đối tượng tính thuế giá trị gia tăng theo phương pháp khấu trừ với mức thuế suất thuế giá trị gia tăng 10%;</w:t>
            </w:r>
          </w:p>
          <w:p w14:paraId="2336F98E" w14:textId="18217019"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Hoạt động không chịu thuế giá trị gia tăng, không phải khai thuế giá trị gia tăng, thuộc diện chịu thuế giá trị gia tăng 0% theo pháp luật về thuế giá trị gia tăng;</w:t>
            </w:r>
          </w:p>
          <w:p w14:paraId="0F10833F" w14:textId="55D62375"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Hoạt động hợp tác kinh doanh với tổ chức thuộc nhóm ngành nghề này mà tổ chức có trách nhiệm khai thuế giá trị gia tăng đối với toàn bộ doanh thu của hoạt động hợp tác kinh doanh theo quy định.</w:t>
            </w:r>
          </w:p>
        </w:tc>
        <w:tc>
          <w:tcPr>
            <w:tcW w:w="769" w:type="pct"/>
            <w:vAlign w:val="center"/>
          </w:tcPr>
          <w:p w14:paraId="0787C661"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1,5%</w:t>
            </w:r>
          </w:p>
        </w:tc>
      </w:tr>
      <w:tr w:rsidR="001C36A2" w:rsidRPr="00322B1D" w14:paraId="0C8B215A" w14:textId="77777777" w:rsidTr="007D5FDE">
        <w:tc>
          <w:tcPr>
            <w:tcW w:w="313" w:type="pct"/>
            <w:vAlign w:val="center"/>
          </w:tcPr>
          <w:p w14:paraId="628C1FD2"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t>4.</w:t>
            </w:r>
          </w:p>
        </w:tc>
        <w:tc>
          <w:tcPr>
            <w:tcW w:w="3918" w:type="pct"/>
            <w:vAlign w:val="bottom"/>
          </w:tcPr>
          <w:p w14:paraId="34AD9A39" w14:textId="77777777"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Hoạt động cung cấp sản phẩm và dịch vụ nội dung thông tin số về giải trí, trò chơi điện tử, phim số, ảnh số, nhạc số, quảng cáo số quy định tại điểm đ khoản 3 Điều 7 Luật Thuế thu nhập cá nhân.</w:t>
            </w:r>
          </w:p>
        </w:tc>
        <w:tc>
          <w:tcPr>
            <w:tcW w:w="769" w:type="pct"/>
            <w:vAlign w:val="center"/>
          </w:tcPr>
          <w:p w14:paraId="03025BDF"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5%</w:t>
            </w:r>
          </w:p>
        </w:tc>
      </w:tr>
      <w:tr w:rsidR="001C36A2" w:rsidRPr="00322B1D" w14:paraId="02408E39" w14:textId="77777777" w:rsidTr="007D5FDE">
        <w:tc>
          <w:tcPr>
            <w:tcW w:w="313" w:type="pct"/>
            <w:vMerge w:val="restart"/>
          </w:tcPr>
          <w:p w14:paraId="508B3B09"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b/>
                <w:color w:val="000000" w:themeColor="text1"/>
              </w:rPr>
              <w:lastRenderedPageBreak/>
              <w:t>5.</w:t>
            </w:r>
          </w:p>
        </w:tc>
        <w:tc>
          <w:tcPr>
            <w:tcW w:w="3918" w:type="pct"/>
            <w:vAlign w:val="bottom"/>
          </w:tcPr>
          <w:p w14:paraId="0864A1BA" w14:textId="77777777"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b/>
                <w:color w:val="000000" w:themeColor="text1"/>
              </w:rPr>
              <w:t>Hoạt động kinh doanh khác quy định tại điểm e khoản 3 Điều 7 Luật Thuế thu nhập cá nhân.</w:t>
            </w:r>
          </w:p>
        </w:tc>
        <w:tc>
          <w:tcPr>
            <w:tcW w:w="769" w:type="pct"/>
          </w:tcPr>
          <w:p w14:paraId="179D227B" w14:textId="77777777" w:rsidR="009166B8" w:rsidRPr="00322B1D" w:rsidRDefault="009166B8" w:rsidP="00322933">
            <w:pPr>
              <w:adjustRightInd w:val="0"/>
              <w:snapToGrid w:val="0"/>
              <w:spacing w:before="40" w:after="40" w:line="240" w:lineRule="auto"/>
              <w:jc w:val="center"/>
              <w:rPr>
                <w:rFonts w:ascii="Times New Roman" w:hAnsi="Times New Roman" w:cs="Times New Roman"/>
                <w:color w:val="000000" w:themeColor="text1"/>
              </w:rPr>
            </w:pPr>
          </w:p>
        </w:tc>
      </w:tr>
      <w:tr w:rsidR="001C36A2" w:rsidRPr="00322B1D" w14:paraId="52A9B379" w14:textId="77777777" w:rsidTr="007D5FDE">
        <w:tc>
          <w:tcPr>
            <w:tcW w:w="313" w:type="pct"/>
            <w:vMerge/>
          </w:tcPr>
          <w:p w14:paraId="019CC367" w14:textId="77777777" w:rsidR="009166B8" w:rsidRPr="00322B1D" w:rsidRDefault="009166B8" w:rsidP="00322933">
            <w:pPr>
              <w:adjustRightInd w:val="0"/>
              <w:snapToGrid w:val="0"/>
              <w:spacing w:before="40" w:after="40" w:line="240" w:lineRule="auto"/>
              <w:jc w:val="center"/>
              <w:rPr>
                <w:rFonts w:ascii="Times New Roman" w:hAnsi="Times New Roman" w:cs="Times New Roman"/>
                <w:color w:val="000000" w:themeColor="text1"/>
              </w:rPr>
            </w:pPr>
          </w:p>
        </w:tc>
        <w:tc>
          <w:tcPr>
            <w:tcW w:w="3918" w:type="pct"/>
          </w:tcPr>
          <w:p w14:paraId="7600FDB7" w14:textId="131B1812"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Hoạt động sản xuất các sản phẩm thuộc đối tượng tính thuế giá trị gia tăng theo phương pháp khấu trừ với mức thuế suất thuế giá trị gia tăng 5%;</w:t>
            </w:r>
          </w:p>
          <w:p w14:paraId="1F124844" w14:textId="117738D8"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Hoạt động cung cấp các dịch vụ thuộc đối tượng tính thuế giá trị gia tăng theo phương pháp khấu trừ với mức thuế suất thuế giá trị gia tăng 5%;</w:t>
            </w:r>
          </w:p>
          <w:p w14:paraId="1B6B2A01" w14:textId="25CC62D4" w:rsidR="009166B8" w:rsidRPr="00322B1D" w:rsidRDefault="00A04B29" w:rsidP="00322933">
            <w:pPr>
              <w:adjustRightInd w:val="0"/>
              <w:snapToGrid w:val="0"/>
              <w:spacing w:before="40" w:after="40" w:line="240" w:lineRule="auto"/>
              <w:ind w:firstLine="720"/>
              <w:jc w:val="both"/>
              <w:rPr>
                <w:rFonts w:ascii="Times New Roman" w:hAnsi="Times New Roman" w:cs="Times New Roman"/>
                <w:color w:val="000000" w:themeColor="text1"/>
              </w:rPr>
            </w:pPr>
            <w:r w:rsidRPr="00322B1D">
              <w:rPr>
                <w:rFonts w:ascii="Times New Roman" w:hAnsi="Times New Roman" w:cs="Times New Roman"/>
                <w:color w:val="000000" w:themeColor="text1"/>
              </w:rPr>
              <w:t>-</w:t>
            </w:r>
            <w:r w:rsidR="00322933" w:rsidRPr="00322B1D">
              <w:rPr>
                <w:rFonts w:ascii="Times New Roman" w:hAnsi="Times New Roman" w:cs="Times New Roman"/>
                <w:color w:val="000000" w:themeColor="text1"/>
              </w:rPr>
              <w:t xml:space="preserve"> </w:t>
            </w:r>
            <w:r w:rsidRPr="00322B1D">
              <w:rPr>
                <w:rFonts w:ascii="Times New Roman" w:hAnsi="Times New Roman" w:cs="Times New Roman"/>
                <w:color w:val="000000" w:themeColor="text1"/>
              </w:rPr>
              <w:t>Hoạt động khác chưa được liệt kê ở các nhóm 1, 2, 3, 4 nêu trên.</w:t>
            </w:r>
          </w:p>
        </w:tc>
        <w:tc>
          <w:tcPr>
            <w:tcW w:w="769" w:type="pct"/>
            <w:vAlign w:val="center"/>
          </w:tcPr>
          <w:p w14:paraId="79371EE8" w14:textId="77777777" w:rsidR="009166B8" w:rsidRPr="00322B1D" w:rsidRDefault="00A04B29" w:rsidP="00322933">
            <w:pPr>
              <w:adjustRightInd w:val="0"/>
              <w:snapToGrid w:val="0"/>
              <w:spacing w:before="40" w:after="40" w:line="240" w:lineRule="auto"/>
              <w:jc w:val="center"/>
              <w:rPr>
                <w:rFonts w:ascii="Times New Roman" w:hAnsi="Times New Roman" w:cs="Times New Roman"/>
                <w:color w:val="000000" w:themeColor="text1"/>
              </w:rPr>
            </w:pPr>
            <w:r w:rsidRPr="00322B1D">
              <w:rPr>
                <w:rFonts w:ascii="Times New Roman" w:hAnsi="Times New Roman" w:cs="Times New Roman"/>
                <w:color w:val="000000" w:themeColor="text1"/>
              </w:rPr>
              <w:t>1%</w:t>
            </w:r>
          </w:p>
        </w:tc>
      </w:tr>
    </w:tbl>
    <w:p w14:paraId="53571946" w14:textId="77777777" w:rsidR="00B063FB" w:rsidRPr="00322B1D" w:rsidRDefault="00B063FB" w:rsidP="001C36A2">
      <w:pPr>
        <w:adjustRightInd w:val="0"/>
        <w:snapToGrid w:val="0"/>
        <w:spacing w:after="120" w:line="240" w:lineRule="auto"/>
        <w:ind w:firstLine="720"/>
        <w:jc w:val="both"/>
        <w:rPr>
          <w:rFonts w:ascii="Times New Roman" w:hAnsi="Times New Roman" w:cs="Times New Roman"/>
          <w:color w:val="000000" w:themeColor="text1"/>
        </w:rPr>
      </w:pPr>
    </w:p>
    <w:sectPr w:rsidR="00B063FB" w:rsidRPr="00322B1D" w:rsidSect="001C36A2">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9F686" w14:textId="77777777" w:rsidR="00290063" w:rsidRDefault="00290063">
      <w:pPr>
        <w:spacing w:after="0" w:line="240" w:lineRule="auto"/>
      </w:pPr>
      <w:r>
        <w:separator/>
      </w:r>
    </w:p>
  </w:endnote>
  <w:endnote w:type="continuationSeparator" w:id="0">
    <w:p w14:paraId="30DE6B9F" w14:textId="77777777" w:rsidR="00290063" w:rsidRDefault="00290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6229058"/>
      <w:docPartObj>
        <w:docPartGallery w:val="Page Numbers (Bottom of Page)"/>
        <w:docPartUnique/>
      </w:docPartObj>
    </w:sdtPr>
    <w:sdtEndPr>
      <w:rPr>
        <w:noProof/>
      </w:rPr>
    </w:sdtEndPr>
    <w:sdtContent>
      <w:p w14:paraId="7EF395D0" w14:textId="6F40AF13" w:rsidR="00322E72" w:rsidRDefault="00322E72">
        <w:pPr>
          <w:pStyle w:val="Footer"/>
          <w:jc w:val="right"/>
        </w:pPr>
        <w:r>
          <w:fldChar w:fldCharType="begin"/>
        </w:r>
        <w:r>
          <w:instrText xml:space="preserve"> PAGE   \* MERGEFORMAT </w:instrText>
        </w:r>
        <w:r>
          <w:fldChar w:fldCharType="separate"/>
        </w:r>
        <w:r>
          <w:rPr>
            <w:noProof/>
          </w:rPr>
          <w:t>2</w:t>
        </w:r>
        <w:r>
          <w:rPr>
            <w:noProof/>
          </w:rPr>
          <w:fldChar w:fldCharType="end"/>
        </w:r>
        <w:r w:rsidR="00DC0F24">
          <w:rPr>
            <w:noProof/>
          </w:rPr>
          <w:t>/ 41</w:t>
        </w:r>
      </w:p>
    </w:sdtContent>
  </w:sdt>
  <w:p w14:paraId="6D9E04C7" w14:textId="77777777" w:rsidR="00322E72" w:rsidRDefault="00322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E2B2D" w14:textId="77777777" w:rsidR="00290063" w:rsidRDefault="00290063">
      <w:pPr>
        <w:spacing w:after="0" w:line="240" w:lineRule="auto"/>
      </w:pPr>
      <w:r>
        <w:separator/>
      </w:r>
    </w:p>
  </w:footnote>
  <w:footnote w:type="continuationSeparator" w:id="0">
    <w:p w14:paraId="6A9C4140" w14:textId="77777777" w:rsidR="00290063" w:rsidRDefault="002900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66B8"/>
    <w:rsid w:val="0000333A"/>
    <w:rsid w:val="00015E47"/>
    <w:rsid w:val="00112437"/>
    <w:rsid w:val="001C36A2"/>
    <w:rsid w:val="001F37F1"/>
    <w:rsid w:val="00245C51"/>
    <w:rsid w:val="00290063"/>
    <w:rsid w:val="00322933"/>
    <w:rsid w:val="00322B1D"/>
    <w:rsid w:val="00322E72"/>
    <w:rsid w:val="00427C6F"/>
    <w:rsid w:val="0044307A"/>
    <w:rsid w:val="006E6402"/>
    <w:rsid w:val="007105DE"/>
    <w:rsid w:val="00774729"/>
    <w:rsid w:val="007A6B99"/>
    <w:rsid w:val="007D5FDE"/>
    <w:rsid w:val="008B76CB"/>
    <w:rsid w:val="008C4BCE"/>
    <w:rsid w:val="009166B8"/>
    <w:rsid w:val="00A04B29"/>
    <w:rsid w:val="00A545AC"/>
    <w:rsid w:val="00B063FB"/>
    <w:rsid w:val="00B4781C"/>
    <w:rsid w:val="00B551C2"/>
    <w:rsid w:val="00C343E3"/>
    <w:rsid w:val="00D052A9"/>
    <w:rsid w:val="00D21DBC"/>
    <w:rsid w:val="00DC0F24"/>
    <w:rsid w:val="00E34F65"/>
    <w:rsid w:val="00EE5294"/>
    <w:rsid w:val="00FD7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4A150"/>
  <w15:docId w15:val="{0EF7ABD9-CDF0-4F4E-9C52-79F68A451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6A2"/>
  </w:style>
  <w:style w:type="paragraph" w:styleId="Footer">
    <w:name w:val="footer"/>
    <w:basedOn w:val="Normal"/>
    <w:link w:val="FooterChar"/>
    <w:uiPriority w:val="99"/>
    <w:unhideWhenUsed/>
    <w:rsid w:val="001C3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6A2"/>
  </w:style>
  <w:style w:type="character" w:styleId="Hyperlink">
    <w:name w:val="Hyperlink"/>
    <w:basedOn w:val="DefaultParagraphFont"/>
    <w:uiPriority w:val="99"/>
    <w:unhideWhenUsed/>
    <w:rsid w:val="00A04B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net/vn/63_2025_QH15.link" TargetMode="External"/><Relationship Id="rId13" Type="http://schemas.openxmlformats.org/officeDocument/2006/relationships/hyperlink" Target="https://luatvietnam.net/vn/349_2025_N&#272;-CP.link" TargetMode="External"/><Relationship Id="rId18" Type="http://schemas.openxmlformats.org/officeDocument/2006/relationships/hyperlink" Target="https://luatvietnam.net/vn/353_2025_N&#272;-CP.link" TargetMode="External"/><Relationship Id="rId3" Type="http://schemas.openxmlformats.org/officeDocument/2006/relationships/settings" Target="settings.xml"/><Relationship Id="rId21" Type="http://schemas.openxmlformats.org/officeDocument/2006/relationships/hyperlink" Target="https://luatvietnam.net/vn/91_2014_N&#272;-CP.link" TargetMode="External"/><Relationship Id="rId7" Type="http://schemas.openxmlformats.org/officeDocument/2006/relationships/hyperlink" Target="https://luatvietnam.net/vn/253_2026_N&#272;-CP.link" TargetMode="External"/><Relationship Id="rId12" Type="http://schemas.openxmlformats.org/officeDocument/2006/relationships/hyperlink" Target="https://luatvietnam.net/vn/08_2019_N&#272;-CP.link" TargetMode="External"/><Relationship Id="rId17" Type="http://schemas.openxmlformats.org/officeDocument/2006/relationships/hyperlink" Target="https://luatvietnam.net/vn/268_2025_N&#272;-CP.lin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uatvietnam.net/vn/267_2025_N&#272;-CP.link" TargetMode="External"/><Relationship Id="rId20" Type="http://schemas.openxmlformats.org/officeDocument/2006/relationships/hyperlink" Target="https://luatvietnam.net/vn/65_2013_N&#272;-CP.lin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uatvietnam.net/vn/&#273;&#7891;ng_ng&#432;&#7901;i_th&#225;ng.lin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uatvietnam.net/vn/265_2025_N&#272;-CP.link" TargetMode="External"/><Relationship Id="rId23" Type="http://schemas.openxmlformats.org/officeDocument/2006/relationships/footer" Target="footer1.xml"/><Relationship Id="rId10" Type="http://schemas.openxmlformats.org/officeDocument/2006/relationships/hyperlink" Target="https://luatvietnam.net/vn/09_2026_QH16.link" TargetMode="External"/><Relationship Id="rId19" Type="http://schemas.openxmlformats.org/officeDocument/2006/relationships/hyperlink" Target="https://luatvietnam.net/vn/68_2026_N&#272;-CP.link" TargetMode="External"/><Relationship Id="rId4" Type="http://schemas.openxmlformats.org/officeDocument/2006/relationships/webSettings" Target="webSettings.xml"/><Relationship Id="rId9" Type="http://schemas.openxmlformats.org/officeDocument/2006/relationships/hyperlink" Target="https://luatvietnam.net/vn/109_2025_QH15.link" TargetMode="External"/><Relationship Id="rId14" Type="http://schemas.openxmlformats.org/officeDocument/2006/relationships/hyperlink" Target="https://luatvietnam.net/vn/181_2025_N&#272;-CP.link" TargetMode="External"/><Relationship Id="rId22" Type="http://schemas.openxmlformats.org/officeDocument/2006/relationships/hyperlink" Target="https://luatvietnam.net/vn/12_2015_N&#272;-CP.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1E3E9-0E9F-427C-A907-DC8A41E66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20277</Words>
  <Characters>115584</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22</cp:revision>
  <dcterms:created xsi:type="dcterms:W3CDTF">2026-07-02T15:44:00Z</dcterms:created>
  <dcterms:modified xsi:type="dcterms:W3CDTF">2026-07-17T15:29:00Z</dcterms:modified>
</cp:coreProperties>
</file>